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left"/>
        <w:rPr>
          <w:rFonts w:ascii="仿宋_GB2312" w:hAnsi="仿宋" w:eastAsia="仿宋_GB2312"/>
          <w:b/>
          <w:sz w:val="32"/>
          <w:szCs w:val="32"/>
        </w:rPr>
      </w:pPr>
      <w:r>
        <w:rPr>
          <w:rFonts w:hint="eastAsia" w:ascii="仿宋_GB2312" w:hAnsi="仿宋" w:eastAsia="仿宋_GB2312"/>
          <w:b/>
          <w:sz w:val="32"/>
          <w:szCs w:val="32"/>
        </w:rPr>
        <w:t>附件</w:t>
      </w:r>
      <w:r>
        <w:rPr>
          <w:rFonts w:hint="eastAsia" w:ascii="仿宋_GB2312" w:hAnsi="仿宋" w:eastAsia="仿宋_GB2312"/>
          <w:b/>
          <w:sz w:val="32"/>
          <w:szCs w:val="32"/>
          <w:lang w:val="en-US" w:eastAsia="zh-CN"/>
        </w:rPr>
        <w:t>2</w:t>
      </w:r>
      <w:bookmarkStart w:id="2" w:name="_GoBack"/>
      <w:bookmarkEnd w:id="2"/>
      <w:r>
        <w:rPr>
          <w:rFonts w:hint="eastAsia" w:ascii="仿宋_GB2312" w:hAnsi="仿宋" w:eastAsia="仿宋_GB2312"/>
          <w:b/>
          <w:sz w:val="32"/>
          <w:szCs w:val="32"/>
        </w:rPr>
        <w:t>：</w:t>
      </w:r>
    </w:p>
    <w:p>
      <w:pPr>
        <w:spacing w:afterLines="100"/>
        <w:jc w:val="center"/>
        <w:rPr>
          <w:rFonts w:ascii="方正小标宋简体" w:hAnsi="仿宋" w:eastAsia="方正小标宋简体"/>
          <w:b/>
          <w:sz w:val="44"/>
          <w:szCs w:val="44"/>
        </w:rPr>
      </w:pPr>
      <w:r>
        <w:rPr>
          <w:rFonts w:hint="eastAsia" w:ascii="方正小标宋简体" w:hAnsi="仿宋" w:eastAsia="方正小标宋简体"/>
          <w:b/>
          <w:sz w:val="44"/>
          <w:szCs w:val="44"/>
        </w:rPr>
        <w:t>贵州大学研究生奖学金评定办法（试行）</w:t>
      </w:r>
    </w:p>
    <w:p>
      <w:pPr>
        <w:jc w:val="center"/>
        <w:rPr>
          <w:rFonts w:ascii="楷体_GB2312" w:hAnsi="仿宋" w:eastAsia="楷体_GB2312"/>
          <w:b/>
          <w:sz w:val="32"/>
          <w:szCs w:val="32"/>
        </w:rPr>
      </w:pPr>
      <w:r>
        <w:rPr>
          <w:rFonts w:ascii="楷体_GB2312" w:hAnsi="仿宋" w:eastAsia="楷体_GB2312"/>
          <w:b/>
          <w:sz w:val="32"/>
          <w:szCs w:val="32"/>
        </w:rPr>
        <w:t>第一章 总 则</w:t>
      </w:r>
    </w:p>
    <w:p>
      <w:pPr>
        <w:spacing w:line="520" w:lineRule="exact"/>
        <w:rPr>
          <w:rFonts w:ascii="仿宋_GB2312" w:hAnsi="仿宋" w:eastAsia="仿宋_GB2312"/>
          <w:sz w:val="32"/>
          <w:szCs w:val="32"/>
        </w:rPr>
      </w:pPr>
      <w:r>
        <w:rPr>
          <w:rFonts w:hint="eastAsia" w:ascii="仿宋" w:hAnsi="仿宋" w:eastAsia="仿宋"/>
          <w:b/>
          <w:sz w:val="32"/>
          <w:szCs w:val="32"/>
        </w:rPr>
        <w:t xml:space="preserve">   </w:t>
      </w:r>
      <w:r>
        <w:rPr>
          <w:rFonts w:hint="eastAsia" w:ascii="仿宋" w:hAnsi="仿宋" w:eastAsia="仿宋"/>
          <w:sz w:val="32"/>
          <w:szCs w:val="32"/>
        </w:rPr>
        <w:t xml:space="preserve"> </w:t>
      </w:r>
      <w:r>
        <w:rPr>
          <w:rFonts w:hint="eastAsia" w:ascii="仿宋_GB2312" w:hAnsi="仿宋" w:eastAsia="仿宋_GB2312"/>
          <w:b/>
          <w:color w:val="000000"/>
          <w:sz w:val="32"/>
          <w:szCs w:val="32"/>
        </w:rPr>
        <w:t>第一条</w:t>
      </w:r>
      <w:r>
        <w:rPr>
          <w:rFonts w:hint="eastAsia" w:ascii="仿宋_GB2312" w:hAnsi="仿宋" w:eastAsia="仿宋_GB2312"/>
          <w:sz w:val="32"/>
          <w:szCs w:val="32"/>
        </w:rPr>
        <w:t xml:space="preserve">  为推动研究生教育综合改革，进一步提高研究生培养质量，促进研究生教育持续健康发展，完善研究生教育投入机制，根据《贵州省研究生学业奖学金管理办法》（黔财教〔2015〕45号）和《贵州大学学生管理规定》（试行）（贵大发〔2017〕119号）精神，结合实际，特制订《贵州大学研究生奖学金评定办法》（以下简称《办法》）。</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color w:val="000000"/>
          <w:sz w:val="32"/>
          <w:szCs w:val="32"/>
        </w:rPr>
        <w:t>第二条</w:t>
      </w:r>
      <w:r>
        <w:rPr>
          <w:rFonts w:hint="eastAsia" w:ascii="仿宋_GB2312" w:hAnsi="仿宋" w:eastAsia="仿宋_GB2312"/>
          <w:sz w:val="32"/>
          <w:szCs w:val="32"/>
        </w:rPr>
        <w:t xml:space="preserve">  本办法所称研究生是指纳入全国研究生招生计划的全日制脱产学习的研究生(定向、委培除外)。全日制脱产学习研究生身份的确定以档案按时转入我校为准。 </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color w:val="000000"/>
          <w:sz w:val="32"/>
          <w:szCs w:val="32"/>
        </w:rPr>
        <w:t>第三条</w:t>
      </w:r>
      <w:r>
        <w:rPr>
          <w:rFonts w:hint="eastAsia" w:ascii="仿宋_GB2312" w:hAnsi="仿宋" w:eastAsia="仿宋_GB2312"/>
          <w:sz w:val="32"/>
          <w:szCs w:val="32"/>
        </w:rPr>
        <w:t xml:space="preserve">  奖学金分为国家奖学金和学业奖学金。</w:t>
      </w:r>
    </w:p>
    <w:p>
      <w:pPr>
        <w:spacing w:line="520" w:lineRule="exact"/>
        <w:rPr>
          <w:rFonts w:ascii="仿宋" w:hAnsi="仿宋" w:eastAsia="仿宋"/>
          <w:sz w:val="32"/>
          <w:szCs w:val="32"/>
        </w:rPr>
      </w:pPr>
    </w:p>
    <w:p>
      <w:pPr>
        <w:jc w:val="center"/>
        <w:rPr>
          <w:rFonts w:ascii="楷体_GB2312" w:hAnsi="仿宋" w:eastAsia="楷体_GB2312"/>
          <w:b/>
          <w:sz w:val="32"/>
          <w:szCs w:val="32"/>
        </w:rPr>
      </w:pPr>
      <w:r>
        <w:rPr>
          <w:rFonts w:ascii="楷体_GB2312" w:hAnsi="仿宋" w:eastAsia="楷体_GB2312"/>
          <w:b/>
          <w:sz w:val="32"/>
          <w:szCs w:val="32"/>
        </w:rPr>
        <w:t>第二章 评审机构</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color w:val="000000"/>
          <w:sz w:val="32"/>
          <w:szCs w:val="32"/>
        </w:rPr>
        <w:t xml:space="preserve">第四条 </w:t>
      </w:r>
      <w:r>
        <w:rPr>
          <w:rFonts w:hint="eastAsia" w:ascii="仿宋_GB2312" w:hAnsi="仿宋" w:eastAsia="仿宋_GB2312"/>
          <w:sz w:val="32"/>
          <w:szCs w:val="32"/>
        </w:rPr>
        <w:t xml:space="preserve"> 校学生评优评奖委员会负责统筹领导、组织协调、指导监督全校研究生奖学金评审工作。</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color w:val="000000"/>
          <w:sz w:val="32"/>
          <w:szCs w:val="32"/>
        </w:rPr>
        <w:t>第五条</w:t>
      </w:r>
      <w:r>
        <w:rPr>
          <w:rFonts w:hint="eastAsia" w:ascii="仿宋_GB2312" w:hAnsi="仿宋" w:eastAsia="仿宋_GB2312"/>
          <w:sz w:val="32"/>
          <w:szCs w:val="32"/>
        </w:rPr>
        <w:t xml:space="preserve">  校学生申诉处理委员会裁决有关申诉事项。</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color w:val="000000"/>
          <w:sz w:val="32"/>
          <w:szCs w:val="32"/>
        </w:rPr>
        <w:t xml:space="preserve">第六条 </w:t>
      </w:r>
      <w:r>
        <w:rPr>
          <w:rFonts w:hint="eastAsia" w:ascii="仿宋_GB2312" w:hAnsi="仿宋" w:eastAsia="仿宋_GB2312"/>
          <w:sz w:val="32"/>
          <w:szCs w:val="32"/>
        </w:rPr>
        <w:t xml:space="preserve"> 研究生院、党委研究生工作部（研究生管理处）、学生资助管理中心具体负责组织实施，按照校学生评优评奖委员会要求开展初评、审核等工作。</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color w:val="000000"/>
          <w:sz w:val="32"/>
          <w:szCs w:val="32"/>
        </w:rPr>
        <w:t>第七条</w:t>
      </w:r>
      <w:r>
        <w:rPr>
          <w:rFonts w:hint="eastAsia" w:ascii="仿宋_GB2312" w:hAnsi="仿宋" w:eastAsia="仿宋_GB2312"/>
          <w:sz w:val="32"/>
          <w:szCs w:val="32"/>
        </w:rPr>
        <w:t xml:space="preserve">  各研究生培养单位成立研究生奖学金评审工作小组，由培养单位主要领导任组长，成员由导师代表、管理人员代表、研究生代表等组成，负责制定本单位研究生奖学金评审实施细则（以下简称《细则》），并完成本单位奖学金的申请受理、初步评审等工作。</w:t>
      </w:r>
    </w:p>
    <w:p>
      <w:pPr>
        <w:spacing w:line="520" w:lineRule="exact"/>
        <w:rPr>
          <w:rFonts w:ascii="仿宋" w:hAnsi="仿宋" w:eastAsia="仿宋"/>
          <w:b/>
          <w:color w:val="FFFFFF"/>
          <w:sz w:val="32"/>
          <w:szCs w:val="32"/>
        </w:rPr>
      </w:pPr>
    </w:p>
    <w:p>
      <w:pPr>
        <w:jc w:val="center"/>
        <w:rPr>
          <w:rFonts w:ascii="楷体_GB2312" w:hAnsi="仿宋" w:eastAsia="楷体_GB2312"/>
          <w:b/>
          <w:sz w:val="32"/>
          <w:szCs w:val="32"/>
        </w:rPr>
      </w:pPr>
      <w:r>
        <w:rPr>
          <w:rFonts w:hint="eastAsia" w:ascii="楷体_GB2312" w:hAnsi="仿宋" w:eastAsia="楷体_GB2312"/>
          <w:b/>
          <w:sz w:val="32"/>
          <w:szCs w:val="32"/>
        </w:rPr>
        <w:t>第三章 奖励标准及指标下达</w:t>
      </w:r>
    </w:p>
    <w:p>
      <w:pPr>
        <w:spacing w:line="520" w:lineRule="exact"/>
        <w:ind w:left="442" w:firstLine="321" w:firstLineChars="100"/>
        <w:rPr>
          <w:rFonts w:ascii="仿宋_GB2312" w:hAnsi="仿宋" w:eastAsia="仿宋_GB2312"/>
          <w:sz w:val="32"/>
          <w:szCs w:val="32"/>
        </w:rPr>
      </w:pPr>
      <w:bookmarkStart w:id="0" w:name="page36"/>
      <w:bookmarkEnd w:id="0"/>
      <w:r>
        <w:rPr>
          <w:rFonts w:hint="eastAsia" w:ascii="仿宋_GB2312" w:hAnsi="仿宋" w:eastAsia="仿宋_GB2312"/>
          <w:b/>
          <w:color w:val="000000"/>
          <w:sz w:val="32"/>
          <w:szCs w:val="32"/>
        </w:rPr>
        <w:t>第八条</w:t>
      </w:r>
      <w:r>
        <w:rPr>
          <w:rFonts w:hint="eastAsia" w:ascii="仿宋_GB2312" w:hAnsi="仿宋" w:eastAsia="仿宋_GB2312"/>
          <w:b/>
          <w:sz w:val="32"/>
          <w:szCs w:val="32"/>
        </w:rPr>
        <w:t xml:space="preserve">   </w:t>
      </w:r>
      <w:r>
        <w:rPr>
          <w:rFonts w:hint="eastAsia" w:ascii="仿宋_GB2312" w:hAnsi="仿宋" w:eastAsia="仿宋_GB2312"/>
          <w:sz w:val="32"/>
          <w:szCs w:val="32"/>
        </w:rPr>
        <w:t>国家奖学金奖励标准:</w:t>
      </w:r>
    </w:p>
    <w:tbl>
      <w:tblPr>
        <w:tblStyle w:val="5"/>
        <w:tblW w:w="6804" w:type="dxa"/>
        <w:jc w:val="center"/>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267" w:type="dxa"/>
            <w:vAlign w:val="bottom"/>
          </w:tcPr>
          <w:p>
            <w:pPr>
              <w:pStyle w:val="10"/>
              <w:ind w:firstLine="0" w:firstLineChars="0"/>
              <w:rPr>
                <w:rFonts w:ascii="仿宋_GB2312" w:hAnsi="仿宋" w:eastAsia="仿宋_GB2312"/>
                <w:sz w:val="32"/>
                <w:szCs w:val="32"/>
              </w:rPr>
            </w:pPr>
            <w:r>
              <w:rPr>
                <w:rFonts w:hint="eastAsia" w:ascii="仿宋_GB2312" w:hAnsi="仿宋" w:eastAsia="仿宋_GB2312"/>
                <w:b/>
                <w:sz w:val="32"/>
                <w:szCs w:val="32"/>
              </w:rPr>
              <w:t xml:space="preserve">    类别</w:t>
            </w:r>
          </w:p>
        </w:tc>
        <w:tc>
          <w:tcPr>
            <w:tcW w:w="4537" w:type="dxa"/>
            <w:vAlign w:val="bottom"/>
          </w:tcPr>
          <w:p>
            <w:pPr>
              <w:pStyle w:val="10"/>
              <w:ind w:firstLine="0" w:firstLineChars="0"/>
              <w:rPr>
                <w:rFonts w:ascii="仿宋_GB2312" w:hAnsi="仿宋" w:eastAsia="仿宋_GB2312"/>
                <w:sz w:val="32"/>
                <w:szCs w:val="32"/>
              </w:rPr>
            </w:pPr>
            <w:r>
              <w:rPr>
                <w:rFonts w:hint="eastAsia" w:ascii="仿宋_GB2312" w:hAnsi="仿宋" w:eastAsia="仿宋_GB2312"/>
                <w:b/>
                <w:sz w:val="32"/>
                <w:szCs w:val="32"/>
              </w:rPr>
              <w:t xml:space="preserve">       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267" w:type="dxa"/>
            <w:vAlign w:val="bottom"/>
          </w:tcPr>
          <w:p>
            <w:pPr>
              <w:pStyle w:val="10"/>
              <w:ind w:firstLine="0" w:firstLineChars="0"/>
              <w:rPr>
                <w:rFonts w:ascii="仿宋_GB2312" w:hAnsi="仿宋" w:eastAsia="仿宋_GB2312"/>
                <w:sz w:val="32"/>
                <w:szCs w:val="32"/>
              </w:rPr>
            </w:pPr>
            <w:r>
              <w:rPr>
                <w:rFonts w:hint="eastAsia" w:ascii="仿宋_GB2312" w:hAnsi="仿宋" w:eastAsia="仿宋_GB2312"/>
                <w:sz w:val="32"/>
                <w:szCs w:val="32"/>
              </w:rPr>
              <w:t xml:space="preserve">    博士</w:t>
            </w:r>
          </w:p>
        </w:tc>
        <w:tc>
          <w:tcPr>
            <w:tcW w:w="4537" w:type="dxa"/>
            <w:vAlign w:val="bottom"/>
          </w:tcPr>
          <w:p>
            <w:pPr>
              <w:pStyle w:val="10"/>
              <w:ind w:firstLine="0" w:firstLineChars="0"/>
              <w:rPr>
                <w:rFonts w:ascii="仿宋_GB2312" w:hAnsi="仿宋" w:eastAsia="仿宋_GB2312"/>
                <w:sz w:val="32"/>
                <w:szCs w:val="32"/>
              </w:rPr>
            </w:pPr>
            <w:r>
              <w:rPr>
                <w:rFonts w:hint="eastAsia" w:ascii="仿宋_GB2312" w:hAnsi="仿宋" w:eastAsia="仿宋_GB2312"/>
                <w:sz w:val="32"/>
                <w:szCs w:val="32"/>
              </w:rPr>
              <w:t xml:space="preserve">     30000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7" w:type="dxa"/>
            <w:vAlign w:val="bottom"/>
          </w:tcPr>
          <w:p>
            <w:pPr>
              <w:pStyle w:val="10"/>
              <w:ind w:firstLine="0" w:firstLineChars="0"/>
              <w:rPr>
                <w:rFonts w:ascii="仿宋_GB2312" w:hAnsi="仿宋" w:eastAsia="仿宋_GB2312"/>
                <w:sz w:val="32"/>
                <w:szCs w:val="32"/>
              </w:rPr>
            </w:pPr>
            <w:r>
              <w:rPr>
                <w:rFonts w:hint="eastAsia" w:ascii="仿宋_GB2312" w:hAnsi="仿宋" w:eastAsia="仿宋_GB2312"/>
                <w:sz w:val="32"/>
                <w:szCs w:val="32"/>
              </w:rPr>
              <w:t xml:space="preserve">    硕士</w:t>
            </w:r>
          </w:p>
        </w:tc>
        <w:tc>
          <w:tcPr>
            <w:tcW w:w="4537" w:type="dxa"/>
            <w:vAlign w:val="bottom"/>
          </w:tcPr>
          <w:p>
            <w:pPr>
              <w:pStyle w:val="10"/>
              <w:ind w:firstLine="0" w:firstLineChars="0"/>
              <w:rPr>
                <w:rFonts w:ascii="仿宋_GB2312" w:hAnsi="仿宋" w:eastAsia="仿宋_GB2312"/>
                <w:sz w:val="32"/>
                <w:szCs w:val="32"/>
              </w:rPr>
            </w:pPr>
            <w:r>
              <w:rPr>
                <w:rFonts w:hint="eastAsia" w:ascii="仿宋_GB2312" w:hAnsi="仿宋" w:eastAsia="仿宋_GB2312"/>
                <w:sz w:val="32"/>
                <w:szCs w:val="32"/>
              </w:rPr>
              <w:t xml:space="preserve">     20000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4" w:type="dxa"/>
            <w:gridSpan w:val="2"/>
            <w:vAlign w:val="bottom"/>
          </w:tcPr>
          <w:p>
            <w:pPr>
              <w:pStyle w:val="10"/>
              <w:ind w:firstLine="0" w:firstLineChars="0"/>
              <w:rPr>
                <w:rFonts w:ascii="仿宋_GB2312" w:hAnsi="仿宋" w:eastAsia="仿宋_GB2312"/>
                <w:color w:val="000000"/>
                <w:sz w:val="32"/>
                <w:szCs w:val="32"/>
              </w:rPr>
            </w:pPr>
            <w:r>
              <w:rPr>
                <w:rFonts w:hint="eastAsia" w:ascii="仿宋_GB2312" w:hAnsi="仿宋" w:eastAsia="仿宋_GB2312"/>
                <w:color w:val="000000"/>
                <w:sz w:val="32"/>
                <w:szCs w:val="32"/>
              </w:rPr>
              <w:t>奖励标</w:t>
            </w:r>
            <w:r>
              <w:rPr>
                <w:rFonts w:hint="eastAsia" w:ascii="仿宋_GB2312" w:hAnsi="仿宋" w:eastAsia="仿宋_GB2312" w:cstheme="minorBidi"/>
                <w:kern w:val="2"/>
                <w:sz w:val="32"/>
                <w:szCs w:val="32"/>
              </w:rPr>
              <w:t>准及指标以当年上级部门下达通知</w:t>
            </w:r>
            <w:r>
              <w:rPr>
                <w:rFonts w:hint="eastAsia" w:ascii="仿宋_GB2312" w:hAnsi="仿宋" w:eastAsia="仿宋_GB2312"/>
                <w:color w:val="000000"/>
                <w:sz w:val="32"/>
                <w:szCs w:val="32"/>
              </w:rPr>
              <w:t>为准</w:t>
            </w:r>
          </w:p>
        </w:tc>
      </w:tr>
    </w:tbl>
    <w:p>
      <w:pPr>
        <w:spacing w:line="520" w:lineRule="exact"/>
        <w:ind w:left="440" w:firstLine="321" w:firstLineChars="100"/>
        <w:rPr>
          <w:rFonts w:ascii="仿宋_GB2312" w:hAnsi="仿宋" w:eastAsia="仿宋_GB2312"/>
          <w:sz w:val="32"/>
          <w:szCs w:val="32"/>
        </w:rPr>
      </w:pPr>
      <w:r>
        <w:rPr>
          <w:rFonts w:hint="eastAsia" w:ascii="仿宋_GB2312" w:hAnsi="仿宋" w:eastAsia="仿宋_GB2312"/>
          <w:b/>
          <w:color w:val="000000"/>
          <w:sz w:val="32"/>
          <w:szCs w:val="32"/>
        </w:rPr>
        <w:t xml:space="preserve">第九条 </w:t>
      </w:r>
      <w:r>
        <w:rPr>
          <w:rFonts w:hint="eastAsia" w:ascii="仿宋_GB2312" w:hAnsi="仿宋" w:eastAsia="仿宋_GB2312"/>
          <w:sz w:val="32"/>
          <w:szCs w:val="32"/>
        </w:rPr>
        <w:t xml:space="preserve"> 学业奖学金奖励标准：</w:t>
      </w:r>
    </w:p>
    <w:p>
      <w:pPr>
        <w:pStyle w:val="10"/>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1.博士研究生学业奖学金奖励标准：</w:t>
      </w:r>
    </w:p>
    <w:tbl>
      <w:tblPr>
        <w:tblStyle w:val="5"/>
        <w:tblW w:w="6804" w:type="dxa"/>
        <w:jc w:val="center"/>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64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611" w:type="dxa"/>
            <w:vAlign w:val="center"/>
          </w:tcPr>
          <w:p>
            <w:pPr>
              <w:jc w:val="center"/>
              <w:rPr>
                <w:rFonts w:ascii="仿宋_GB2312" w:hAnsi="仿宋" w:eastAsia="仿宋_GB2312"/>
                <w:sz w:val="32"/>
                <w:szCs w:val="32"/>
              </w:rPr>
            </w:pPr>
            <w:r>
              <w:rPr>
                <w:rFonts w:hint="eastAsia" w:ascii="仿宋_GB2312" w:hAnsi="仿宋" w:eastAsia="仿宋_GB2312"/>
                <w:b/>
                <w:w w:val="99"/>
                <w:sz w:val="32"/>
                <w:szCs w:val="32"/>
              </w:rPr>
              <w:t>等级</w:t>
            </w:r>
          </w:p>
        </w:tc>
        <w:tc>
          <w:tcPr>
            <w:tcW w:w="1649" w:type="dxa"/>
            <w:vAlign w:val="center"/>
          </w:tcPr>
          <w:p>
            <w:pPr>
              <w:jc w:val="center"/>
              <w:rPr>
                <w:rFonts w:ascii="仿宋_GB2312" w:hAnsi="仿宋" w:eastAsia="仿宋_GB2312"/>
                <w:sz w:val="32"/>
                <w:szCs w:val="32"/>
              </w:rPr>
            </w:pPr>
            <w:r>
              <w:rPr>
                <w:rFonts w:hint="eastAsia" w:ascii="仿宋_GB2312" w:hAnsi="仿宋" w:eastAsia="仿宋_GB2312"/>
                <w:b/>
                <w:w w:val="99"/>
                <w:sz w:val="32"/>
                <w:szCs w:val="32"/>
              </w:rPr>
              <w:t>奖励比例</w:t>
            </w:r>
          </w:p>
        </w:tc>
        <w:tc>
          <w:tcPr>
            <w:tcW w:w="3544" w:type="dxa"/>
            <w:vAlign w:val="center"/>
          </w:tcPr>
          <w:p>
            <w:pPr>
              <w:jc w:val="center"/>
              <w:rPr>
                <w:rFonts w:ascii="仿宋_GB2312" w:hAnsi="仿宋" w:eastAsia="仿宋_GB2312"/>
                <w:sz w:val="32"/>
                <w:szCs w:val="32"/>
              </w:rPr>
            </w:pPr>
            <w:r>
              <w:rPr>
                <w:rFonts w:hint="eastAsia" w:ascii="仿宋_GB2312" w:hAnsi="仿宋" w:eastAsia="仿宋_GB2312"/>
                <w:b/>
                <w:w w:val="99"/>
                <w:sz w:val="32"/>
                <w:szCs w:val="32"/>
              </w:rPr>
              <w:t>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611" w:type="dxa"/>
            <w:vAlign w:val="center"/>
          </w:tcPr>
          <w:p>
            <w:pPr>
              <w:jc w:val="center"/>
              <w:rPr>
                <w:rFonts w:ascii="仿宋_GB2312" w:hAnsi="仿宋" w:eastAsia="仿宋_GB2312"/>
                <w:sz w:val="32"/>
                <w:szCs w:val="32"/>
              </w:rPr>
            </w:pPr>
            <w:r>
              <w:rPr>
                <w:rFonts w:hint="eastAsia" w:ascii="仿宋_GB2312" w:hAnsi="仿宋" w:eastAsia="仿宋_GB2312"/>
                <w:w w:val="98"/>
                <w:sz w:val="32"/>
                <w:szCs w:val="32"/>
              </w:rPr>
              <w:t>一等奖</w:t>
            </w:r>
          </w:p>
        </w:tc>
        <w:tc>
          <w:tcPr>
            <w:tcW w:w="1649"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w:t>
            </w:r>
            <w:r>
              <w:rPr>
                <w:rFonts w:hint="eastAsia" w:ascii="仿宋_GB2312" w:hAnsi="仿宋" w:eastAsia="仿宋_GB2312"/>
                <w:sz w:val="32"/>
                <w:szCs w:val="32"/>
              </w:rPr>
              <w:t>10%</w:t>
            </w:r>
          </w:p>
        </w:tc>
        <w:tc>
          <w:tcPr>
            <w:tcW w:w="3544"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20000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611" w:type="dxa"/>
            <w:vAlign w:val="center"/>
          </w:tcPr>
          <w:p>
            <w:pPr>
              <w:jc w:val="center"/>
              <w:rPr>
                <w:rFonts w:ascii="仿宋_GB2312" w:hAnsi="仿宋" w:eastAsia="仿宋_GB2312"/>
                <w:sz w:val="32"/>
                <w:szCs w:val="32"/>
              </w:rPr>
            </w:pPr>
            <w:r>
              <w:rPr>
                <w:rFonts w:hint="eastAsia" w:ascii="仿宋_GB2312" w:hAnsi="仿宋" w:eastAsia="仿宋_GB2312"/>
                <w:w w:val="98"/>
                <w:sz w:val="32"/>
                <w:szCs w:val="32"/>
              </w:rPr>
              <w:t>二等奖</w:t>
            </w:r>
          </w:p>
        </w:tc>
        <w:tc>
          <w:tcPr>
            <w:tcW w:w="1649"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w:t>
            </w:r>
            <w:r>
              <w:rPr>
                <w:rFonts w:hint="eastAsia" w:ascii="仿宋_GB2312" w:hAnsi="仿宋" w:eastAsia="仿宋_GB2312"/>
                <w:sz w:val="32"/>
                <w:szCs w:val="32"/>
              </w:rPr>
              <w:t>20%</w:t>
            </w:r>
          </w:p>
        </w:tc>
        <w:tc>
          <w:tcPr>
            <w:tcW w:w="3544"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15000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11" w:type="dxa"/>
            <w:vAlign w:val="center"/>
          </w:tcPr>
          <w:p>
            <w:pPr>
              <w:jc w:val="center"/>
              <w:rPr>
                <w:rFonts w:ascii="仿宋_GB2312" w:hAnsi="仿宋" w:eastAsia="仿宋_GB2312"/>
                <w:sz w:val="32"/>
                <w:szCs w:val="32"/>
              </w:rPr>
            </w:pPr>
            <w:r>
              <w:rPr>
                <w:rFonts w:hint="eastAsia" w:ascii="仿宋_GB2312" w:hAnsi="仿宋" w:eastAsia="仿宋_GB2312"/>
                <w:w w:val="98"/>
                <w:sz w:val="32"/>
                <w:szCs w:val="32"/>
              </w:rPr>
              <w:t>三等奖</w:t>
            </w:r>
          </w:p>
        </w:tc>
        <w:tc>
          <w:tcPr>
            <w:tcW w:w="1649"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w:t>
            </w:r>
            <w:r>
              <w:rPr>
                <w:rFonts w:hint="eastAsia" w:ascii="仿宋_GB2312" w:hAnsi="仿宋" w:eastAsia="仿宋_GB2312"/>
                <w:sz w:val="32"/>
                <w:szCs w:val="32"/>
              </w:rPr>
              <w:t>30%</w:t>
            </w:r>
          </w:p>
        </w:tc>
        <w:tc>
          <w:tcPr>
            <w:tcW w:w="3544"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10000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611" w:type="dxa"/>
            <w:vAlign w:val="center"/>
          </w:tcPr>
          <w:p>
            <w:pPr>
              <w:jc w:val="center"/>
              <w:rPr>
                <w:rFonts w:ascii="仿宋_GB2312" w:hAnsi="仿宋" w:eastAsia="仿宋_GB2312"/>
                <w:sz w:val="32"/>
                <w:szCs w:val="32"/>
              </w:rPr>
            </w:pPr>
            <w:r>
              <w:rPr>
                <w:rFonts w:hint="eastAsia" w:ascii="仿宋_GB2312" w:hAnsi="仿宋" w:eastAsia="仿宋_GB2312"/>
                <w:w w:val="98"/>
                <w:sz w:val="32"/>
                <w:szCs w:val="32"/>
              </w:rPr>
              <w:t>单项奖</w:t>
            </w:r>
          </w:p>
        </w:tc>
        <w:tc>
          <w:tcPr>
            <w:tcW w:w="1649"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w:t>
            </w:r>
            <w:r>
              <w:rPr>
                <w:rFonts w:hint="eastAsia" w:ascii="仿宋_GB2312" w:hAnsi="仿宋" w:eastAsia="仿宋_GB2312"/>
                <w:sz w:val="32"/>
                <w:szCs w:val="32"/>
              </w:rPr>
              <w:t>3%</w:t>
            </w:r>
          </w:p>
        </w:tc>
        <w:tc>
          <w:tcPr>
            <w:tcW w:w="3544"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3000 元/年</w:t>
            </w:r>
          </w:p>
        </w:tc>
      </w:tr>
    </w:tbl>
    <w:p>
      <w:pPr>
        <w:pStyle w:val="10"/>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2.硕士研究生学业奖学金奖励标准:</w:t>
      </w:r>
    </w:p>
    <w:tbl>
      <w:tblPr>
        <w:tblStyle w:val="5"/>
        <w:tblW w:w="6804" w:type="dxa"/>
        <w:jc w:val="center"/>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701" w:type="dxa"/>
            <w:vAlign w:val="center"/>
          </w:tcPr>
          <w:p>
            <w:pPr>
              <w:rPr>
                <w:rFonts w:ascii="仿宋_GB2312" w:hAnsi="仿宋" w:eastAsia="仿宋_GB2312"/>
                <w:sz w:val="32"/>
                <w:szCs w:val="32"/>
              </w:rPr>
            </w:pPr>
            <w:r>
              <w:rPr>
                <w:rFonts w:hint="eastAsia" w:ascii="仿宋_GB2312" w:hAnsi="仿宋" w:eastAsia="仿宋_GB2312"/>
                <w:b/>
                <w:w w:val="99"/>
                <w:sz w:val="32"/>
                <w:szCs w:val="32"/>
              </w:rPr>
              <w:t>等级</w:t>
            </w:r>
          </w:p>
        </w:tc>
        <w:tc>
          <w:tcPr>
            <w:tcW w:w="1701" w:type="dxa"/>
            <w:vAlign w:val="center"/>
          </w:tcPr>
          <w:p>
            <w:pPr>
              <w:jc w:val="center"/>
              <w:rPr>
                <w:rFonts w:ascii="仿宋_GB2312" w:hAnsi="仿宋" w:eastAsia="仿宋_GB2312"/>
                <w:sz w:val="32"/>
                <w:szCs w:val="32"/>
              </w:rPr>
            </w:pPr>
            <w:r>
              <w:rPr>
                <w:rFonts w:hint="eastAsia" w:ascii="仿宋_GB2312" w:hAnsi="仿宋" w:eastAsia="仿宋_GB2312"/>
                <w:b/>
                <w:w w:val="99"/>
                <w:sz w:val="32"/>
                <w:szCs w:val="32"/>
              </w:rPr>
              <w:t>奖励比例</w:t>
            </w:r>
          </w:p>
        </w:tc>
        <w:tc>
          <w:tcPr>
            <w:tcW w:w="3402" w:type="dxa"/>
            <w:vAlign w:val="center"/>
          </w:tcPr>
          <w:p>
            <w:pPr>
              <w:jc w:val="center"/>
              <w:rPr>
                <w:rFonts w:ascii="仿宋_GB2312" w:hAnsi="仿宋" w:eastAsia="仿宋_GB2312"/>
                <w:sz w:val="32"/>
                <w:szCs w:val="32"/>
              </w:rPr>
            </w:pPr>
            <w:r>
              <w:rPr>
                <w:rFonts w:hint="eastAsia" w:ascii="仿宋_GB2312" w:hAnsi="仿宋" w:eastAsia="仿宋_GB2312"/>
                <w:b/>
                <w:w w:val="99"/>
                <w:sz w:val="32"/>
                <w:szCs w:val="32"/>
              </w:rPr>
              <w:t>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701" w:type="dxa"/>
            <w:vAlign w:val="center"/>
          </w:tcPr>
          <w:p>
            <w:pPr>
              <w:rPr>
                <w:rFonts w:ascii="仿宋_GB2312" w:hAnsi="仿宋" w:eastAsia="仿宋_GB2312"/>
                <w:w w:val="99"/>
                <w:sz w:val="32"/>
                <w:szCs w:val="32"/>
              </w:rPr>
            </w:pPr>
            <w:r>
              <w:rPr>
                <w:rFonts w:hint="eastAsia" w:ascii="仿宋_GB2312" w:hAnsi="仿宋" w:eastAsia="仿宋_GB2312"/>
                <w:w w:val="99"/>
                <w:sz w:val="32"/>
                <w:szCs w:val="32"/>
              </w:rPr>
              <w:t xml:space="preserve">  特等奖</w:t>
            </w:r>
          </w:p>
        </w:tc>
        <w:tc>
          <w:tcPr>
            <w:tcW w:w="1701" w:type="dxa"/>
            <w:vAlign w:val="center"/>
          </w:tcPr>
          <w:p>
            <w:pPr>
              <w:jc w:val="center"/>
              <w:rPr>
                <w:rFonts w:ascii="仿宋_GB2312" w:hAnsi="仿宋" w:eastAsia="仿宋_GB2312"/>
                <w:w w:val="99"/>
                <w:sz w:val="32"/>
                <w:szCs w:val="32"/>
              </w:rPr>
            </w:pPr>
            <w:r>
              <w:rPr>
                <w:rFonts w:hint="eastAsia" w:ascii="仿宋_GB2312" w:hAnsi="仿宋" w:eastAsia="仿宋_GB2312"/>
                <w:w w:val="95"/>
                <w:sz w:val="32"/>
                <w:szCs w:val="32"/>
              </w:rPr>
              <w:t>≤</w:t>
            </w:r>
            <w:r>
              <w:rPr>
                <w:rFonts w:hint="eastAsia" w:ascii="仿宋_GB2312" w:hAnsi="仿宋" w:eastAsia="仿宋_GB2312"/>
                <w:sz w:val="32"/>
                <w:szCs w:val="32"/>
              </w:rPr>
              <w:t>3%</w:t>
            </w:r>
          </w:p>
        </w:tc>
        <w:tc>
          <w:tcPr>
            <w:tcW w:w="3402" w:type="dxa"/>
            <w:vAlign w:val="center"/>
          </w:tcPr>
          <w:p>
            <w:pPr>
              <w:jc w:val="center"/>
              <w:rPr>
                <w:rFonts w:ascii="仿宋_GB2312" w:hAnsi="仿宋" w:eastAsia="仿宋_GB2312"/>
                <w:w w:val="99"/>
                <w:sz w:val="32"/>
                <w:szCs w:val="32"/>
              </w:rPr>
            </w:pPr>
            <w:r>
              <w:rPr>
                <w:rFonts w:hint="eastAsia" w:ascii="仿宋_GB2312" w:hAnsi="仿宋" w:eastAsia="仿宋_GB2312"/>
                <w:w w:val="99"/>
                <w:sz w:val="32"/>
                <w:szCs w:val="32"/>
              </w:rPr>
              <w:t>15000元/年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701" w:type="dxa"/>
            <w:vAlign w:val="center"/>
          </w:tcPr>
          <w:p>
            <w:pPr>
              <w:jc w:val="center"/>
              <w:rPr>
                <w:rFonts w:ascii="仿宋_GB2312" w:hAnsi="仿宋" w:eastAsia="仿宋_GB2312"/>
                <w:sz w:val="32"/>
                <w:szCs w:val="32"/>
              </w:rPr>
            </w:pPr>
            <w:r>
              <w:rPr>
                <w:rFonts w:hint="eastAsia" w:ascii="仿宋_GB2312" w:hAnsi="仿宋" w:eastAsia="仿宋_GB2312"/>
                <w:w w:val="98"/>
                <w:sz w:val="32"/>
                <w:szCs w:val="32"/>
              </w:rPr>
              <w:t>一等奖</w:t>
            </w:r>
          </w:p>
        </w:tc>
        <w:tc>
          <w:tcPr>
            <w:tcW w:w="1701"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w:t>
            </w:r>
            <w:r>
              <w:rPr>
                <w:rFonts w:hint="eastAsia" w:ascii="仿宋_GB2312" w:hAnsi="仿宋" w:eastAsia="仿宋_GB2312"/>
                <w:sz w:val="32"/>
                <w:szCs w:val="32"/>
              </w:rPr>
              <w:t>5%</w:t>
            </w:r>
          </w:p>
        </w:tc>
        <w:tc>
          <w:tcPr>
            <w:tcW w:w="3402"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10000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701" w:type="dxa"/>
            <w:vAlign w:val="center"/>
          </w:tcPr>
          <w:p>
            <w:pPr>
              <w:jc w:val="center"/>
              <w:rPr>
                <w:rFonts w:ascii="仿宋_GB2312" w:hAnsi="仿宋" w:eastAsia="仿宋_GB2312"/>
                <w:sz w:val="32"/>
                <w:szCs w:val="32"/>
              </w:rPr>
            </w:pPr>
            <w:r>
              <w:rPr>
                <w:rFonts w:hint="eastAsia" w:ascii="仿宋_GB2312" w:hAnsi="仿宋" w:eastAsia="仿宋_GB2312"/>
                <w:w w:val="98"/>
                <w:sz w:val="32"/>
                <w:szCs w:val="32"/>
              </w:rPr>
              <w:t>二等奖</w:t>
            </w:r>
          </w:p>
        </w:tc>
        <w:tc>
          <w:tcPr>
            <w:tcW w:w="1701"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w:t>
            </w:r>
            <w:r>
              <w:rPr>
                <w:rFonts w:hint="eastAsia" w:ascii="仿宋_GB2312" w:hAnsi="仿宋" w:eastAsia="仿宋_GB2312"/>
                <w:sz w:val="32"/>
                <w:szCs w:val="32"/>
              </w:rPr>
              <w:t>15%</w:t>
            </w:r>
          </w:p>
        </w:tc>
        <w:tc>
          <w:tcPr>
            <w:tcW w:w="3402"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8000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701" w:type="dxa"/>
            <w:vAlign w:val="center"/>
          </w:tcPr>
          <w:p>
            <w:pPr>
              <w:jc w:val="center"/>
              <w:rPr>
                <w:rFonts w:ascii="仿宋_GB2312" w:hAnsi="仿宋" w:eastAsia="仿宋_GB2312"/>
                <w:sz w:val="32"/>
                <w:szCs w:val="32"/>
              </w:rPr>
            </w:pPr>
            <w:r>
              <w:rPr>
                <w:rFonts w:hint="eastAsia" w:ascii="仿宋_GB2312" w:hAnsi="仿宋" w:eastAsia="仿宋_GB2312"/>
                <w:w w:val="98"/>
                <w:sz w:val="32"/>
                <w:szCs w:val="32"/>
              </w:rPr>
              <w:t>三等奖</w:t>
            </w:r>
          </w:p>
        </w:tc>
        <w:tc>
          <w:tcPr>
            <w:tcW w:w="1701"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w:t>
            </w:r>
            <w:r>
              <w:rPr>
                <w:rFonts w:hint="eastAsia" w:ascii="仿宋_GB2312" w:hAnsi="仿宋" w:eastAsia="仿宋_GB2312"/>
                <w:sz w:val="32"/>
                <w:szCs w:val="32"/>
              </w:rPr>
              <w:t>25%</w:t>
            </w:r>
          </w:p>
        </w:tc>
        <w:tc>
          <w:tcPr>
            <w:tcW w:w="3402"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6000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701" w:type="dxa"/>
            <w:vAlign w:val="center"/>
          </w:tcPr>
          <w:p>
            <w:pPr>
              <w:jc w:val="center"/>
              <w:rPr>
                <w:rFonts w:ascii="仿宋_GB2312" w:hAnsi="仿宋" w:eastAsia="仿宋_GB2312"/>
                <w:sz w:val="32"/>
                <w:szCs w:val="32"/>
              </w:rPr>
            </w:pPr>
            <w:r>
              <w:rPr>
                <w:rFonts w:hint="eastAsia" w:ascii="仿宋_GB2312" w:hAnsi="仿宋" w:eastAsia="仿宋_GB2312"/>
                <w:w w:val="98"/>
                <w:sz w:val="32"/>
                <w:szCs w:val="32"/>
              </w:rPr>
              <w:t>单项奖</w:t>
            </w:r>
          </w:p>
        </w:tc>
        <w:tc>
          <w:tcPr>
            <w:tcW w:w="1701"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w:t>
            </w:r>
            <w:r>
              <w:rPr>
                <w:rFonts w:hint="eastAsia" w:ascii="仿宋_GB2312" w:hAnsi="仿宋" w:eastAsia="仿宋_GB2312"/>
                <w:sz w:val="32"/>
                <w:szCs w:val="32"/>
              </w:rPr>
              <w:t>3%</w:t>
            </w:r>
          </w:p>
        </w:tc>
        <w:tc>
          <w:tcPr>
            <w:tcW w:w="3402" w:type="dxa"/>
            <w:vAlign w:val="center"/>
          </w:tcPr>
          <w:p>
            <w:pPr>
              <w:jc w:val="center"/>
              <w:rPr>
                <w:rFonts w:ascii="仿宋_GB2312" w:hAnsi="仿宋" w:eastAsia="仿宋_GB2312"/>
                <w:sz w:val="32"/>
                <w:szCs w:val="32"/>
              </w:rPr>
            </w:pPr>
            <w:r>
              <w:rPr>
                <w:rFonts w:hint="eastAsia" w:ascii="仿宋_GB2312" w:hAnsi="仿宋" w:eastAsia="仿宋_GB2312"/>
                <w:w w:val="95"/>
                <w:sz w:val="32"/>
                <w:szCs w:val="32"/>
              </w:rPr>
              <w:t>3000 元/年</w:t>
            </w:r>
          </w:p>
        </w:tc>
      </w:tr>
    </w:tbl>
    <w:p>
      <w:pPr>
        <w:spacing w:line="520" w:lineRule="exact"/>
        <w:ind w:firstLine="643" w:firstLineChars="200"/>
        <w:rPr>
          <w:rFonts w:ascii="仿宋_GB2312" w:hAnsi="仿宋" w:eastAsia="仿宋_GB2312"/>
          <w:sz w:val="32"/>
          <w:szCs w:val="32"/>
        </w:rPr>
      </w:pPr>
      <w:r>
        <w:rPr>
          <w:rFonts w:hint="eastAsia" w:ascii="仿宋_GB2312" w:hAnsi="仿宋" w:eastAsia="仿宋_GB2312"/>
          <w:b/>
          <w:color w:val="000000"/>
          <w:sz w:val="32"/>
          <w:szCs w:val="32"/>
        </w:rPr>
        <w:t>第十条</w:t>
      </w:r>
      <w:r>
        <w:rPr>
          <w:rFonts w:hint="eastAsia" w:ascii="仿宋_GB2312" w:hAnsi="仿宋" w:eastAsia="仿宋_GB2312"/>
          <w:b/>
          <w:color w:val="FF0000"/>
          <w:sz w:val="32"/>
          <w:szCs w:val="32"/>
        </w:rPr>
        <w:t xml:space="preserve">  </w:t>
      </w:r>
      <w:r>
        <w:rPr>
          <w:rFonts w:hint="eastAsia" w:ascii="仿宋_GB2312" w:hAnsi="仿宋" w:eastAsia="仿宋_GB2312"/>
          <w:sz w:val="32"/>
          <w:szCs w:val="32"/>
        </w:rPr>
        <w:t>研究生奖学金指标根据各培养单位研究生科研成果、学科竞赛获奖、研究生人数等情况确定。</w:t>
      </w:r>
    </w:p>
    <w:p>
      <w:pPr>
        <w:spacing w:line="520" w:lineRule="exact"/>
        <w:rPr>
          <w:rFonts w:ascii="仿宋" w:hAnsi="仿宋" w:eastAsia="仿宋"/>
          <w:sz w:val="32"/>
          <w:szCs w:val="32"/>
        </w:rPr>
      </w:pPr>
    </w:p>
    <w:p>
      <w:pPr>
        <w:jc w:val="center"/>
        <w:rPr>
          <w:rFonts w:ascii="楷体_GB2312" w:hAnsi="仿宋" w:eastAsia="楷体_GB2312"/>
          <w:b/>
          <w:sz w:val="32"/>
          <w:szCs w:val="32"/>
        </w:rPr>
      </w:pPr>
      <w:r>
        <w:rPr>
          <w:rFonts w:ascii="楷体_GB2312" w:hAnsi="仿宋" w:eastAsia="楷体_GB2312"/>
          <w:b/>
          <w:sz w:val="32"/>
          <w:szCs w:val="32"/>
        </w:rPr>
        <w:t>第四章 申请条件</w:t>
      </w:r>
    </w:p>
    <w:p>
      <w:pPr>
        <w:spacing w:line="520" w:lineRule="exact"/>
        <w:rPr>
          <w:rFonts w:ascii="仿宋_GB2312" w:hAnsi="仿宋" w:eastAsia="仿宋_GB2312"/>
          <w:sz w:val="32"/>
          <w:szCs w:val="32"/>
        </w:rPr>
      </w:pPr>
      <w:r>
        <w:rPr>
          <w:rFonts w:hint="eastAsia" w:ascii="仿宋" w:hAnsi="仿宋" w:eastAsia="仿宋"/>
          <w:b/>
          <w:sz w:val="32"/>
          <w:szCs w:val="32"/>
        </w:rPr>
        <w:t xml:space="preserve">    </w:t>
      </w:r>
      <w:r>
        <w:rPr>
          <w:rFonts w:hint="eastAsia" w:ascii="仿宋_GB2312" w:hAnsi="仿宋" w:eastAsia="仿宋_GB2312"/>
          <w:b/>
          <w:color w:val="000000"/>
          <w:sz w:val="32"/>
          <w:szCs w:val="32"/>
        </w:rPr>
        <w:t>第十一条</w:t>
      </w:r>
      <w:r>
        <w:rPr>
          <w:rFonts w:hint="eastAsia" w:ascii="仿宋_GB2312" w:hAnsi="仿宋" w:eastAsia="仿宋_GB2312"/>
          <w:b/>
          <w:sz w:val="32"/>
          <w:szCs w:val="32"/>
        </w:rPr>
        <w:t xml:space="preserve">  </w:t>
      </w:r>
      <w:r>
        <w:rPr>
          <w:rFonts w:hint="eastAsia" w:ascii="仿宋_GB2312" w:hAnsi="仿宋" w:eastAsia="仿宋_GB2312"/>
          <w:sz w:val="32"/>
          <w:szCs w:val="32"/>
        </w:rPr>
        <w:t>研究生奖学金的申请条件：</w:t>
      </w:r>
    </w:p>
    <w:p>
      <w:pPr>
        <w:spacing w:line="520" w:lineRule="exact"/>
        <w:rPr>
          <w:rFonts w:ascii="仿宋_GB2312" w:hAnsi="仿宋" w:eastAsia="仿宋_GB2312"/>
          <w:strike/>
          <w:sz w:val="32"/>
          <w:szCs w:val="32"/>
        </w:rPr>
      </w:pPr>
      <w:r>
        <w:rPr>
          <w:rFonts w:hint="eastAsia" w:ascii="仿宋_GB2312" w:hAnsi="仿宋" w:eastAsia="仿宋_GB2312"/>
          <w:sz w:val="32"/>
          <w:szCs w:val="32"/>
        </w:rPr>
        <w:t xml:space="preserve">   1.拥护中国共产党领导，认真学习马克思列宁主义、毛泽东思想、邓小平理论、“三个代表”重要思想、科学发展观、习近平新时代中国特色社会主义思想； </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2.遵守中华人民共和国宪法和法律，遵守学校规章制度；</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3.获得奖励的研究生须具有中华人民共和国国籍；</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4.具有贵州大学研究生学籍；</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5.诚实守信，品学兼优，积极参与科学研究、社会实践和社会公益活动；</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6.按时完成研究生个人培养计划各阶段规定的内容和环节。</w:t>
      </w:r>
    </w:p>
    <w:p>
      <w:pPr>
        <w:spacing w:line="520" w:lineRule="exact"/>
        <w:rPr>
          <w:rFonts w:ascii="仿宋_GB2312" w:hAnsi="仿宋" w:eastAsia="仿宋_GB2312"/>
          <w:sz w:val="32"/>
          <w:szCs w:val="32"/>
        </w:rPr>
      </w:pPr>
      <w:r>
        <w:rPr>
          <w:rFonts w:hint="eastAsia" w:ascii="仿宋_GB2312" w:hAnsi="仿宋" w:eastAsia="仿宋_GB2312"/>
          <w:b/>
          <w:sz w:val="32"/>
          <w:szCs w:val="32"/>
        </w:rPr>
        <w:t xml:space="preserve">    </w:t>
      </w:r>
      <w:r>
        <w:rPr>
          <w:rFonts w:hint="eastAsia" w:ascii="仿宋_GB2312" w:hAnsi="仿宋" w:eastAsia="仿宋_GB2312"/>
          <w:b/>
          <w:color w:val="000000"/>
          <w:sz w:val="32"/>
          <w:szCs w:val="32"/>
        </w:rPr>
        <w:t>第十二条</w:t>
      </w:r>
      <w:r>
        <w:rPr>
          <w:rFonts w:hint="eastAsia" w:ascii="仿宋_GB2312" w:hAnsi="仿宋" w:eastAsia="仿宋_GB2312"/>
          <w:b/>
          <w:sz w:val="32"/>
          <w:szCs w:val="32"/>
        </w:rPr>
        <w:t xml:space="preserve">  </w:t>
      </w:r>
      <w:r>
        <w:rPr>
          <w:rFonts w:hint="eastAsia" w:ascii="仿宋_GB2312" w:hAnsi="仿宋" w:eastAsia="仿宋_GB2312"/>
          <w:sz w:val="32"/>
          <w:szCs w:val="32"/>
        </w:rPr>
        <w:t>单项奖学金主要奖励：践行习近平新时代中国特色社会主义思想有成效，服务贵州地方经济社会发展有贡献，开展科技创新和科学研究成效突出，开展社会活动和参加社会工作有成绩的研究生。获得国家奖学金和等级奖学金的研究生均可申请单项奖学金。</w:t>
      </w:r>
    </w:p>
    <w:p>
      <w:pPr>
        <w:spacing w:line="520" w:lineRule="exact"/>
        <w:ind w:firstLine="643" w:firstLineChars="200"/>
        <w:outlineLvl w:val="0"/>
        <w:rPr>
          <w:rFonts w:ascii="仿宋_GB2312" w:hAnsi="仿宋" w:eastAsia="仿宋_GB2312"/>
          <w:sz w:val="32"/>
          <w:szCs w:val="32"/>
        </w:rPr>
      </w:pPr>
      <w:r>
        <w:rPr>
          <w:rFonts w:hint="eastAsia" w:ascii="仿宋_GB2312" w:hAnsi="仿宋" w:eastAsia="仿宋_GB2312"/>
          <w:b/>
          <w:color w:val="000000"/>
          <w:sz w:val="32"/>
          <w:szCs w:val="32"/>
        </w:rPr>
        <w:t>第十三条</w:t>
      </w:r>
      <w:r>
        <w:rPr>
          <w:rFonts w:hint="eastAsia" w:ascii="仿宋_GB2312" w:hAnsi="仿宋" w:eastAsia="仿宋_GB2312"/>
          <w:b/>
          <w:sz w:val="32"/>
          <w:szCs w:val="32"/>
        </w:rPr>
        <w:t xml:space="preserve">  </w:t>
      </w:r>
      <w:r>
        <w:rPr>
          <w:rFonts w:hint="eastAsia" w:ascii="仿宋_GB2312" w:hAnsi="仿宋" w:eastAsia="仿宋_GB2312"/>
          <w:sz w:val="32"/>
          <w:szCs w:val="32"/>
        </w:rPr>
        <w:t>研究生在评选学年出现下列情况之一者，取消当学年度奖学金评定资格或停止发放奖学金。</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color w:val="000000"/>
          <w:sz w:val="32"/>
          <w:szCs w:val="32"/>
        </w:rPr>
        <w:t>1.在学校规定时间内未足额缴纳学费或未按时完成注册手续者；</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2.未履行请假程序擅自离校者；</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3.在学期间休学、退学及其他学籍变动者；</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4.评选时违纪处分尚未解除者；</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5.无故缺席校级活动累计达3次以上者；</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6.有考试不合格者；</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7.其他不得参评的情形。</w:t>
      </w:r>
    </w:p>
    <w:p>
      <w:pPr>
        <w:spacing w:line="520" w:lineRule="exact"/>
        <w:rPr>
          <w:rFonts w:ascii="仿宋_GB2312" w:hAnsi="仿宋" w:eastAsia="仿宋_GB2312"/>
          <w:color w:val="FF0000"/>
          <w:sz w:val="32"/>
          <w:szCs w:val="32"/>
        </w:rPr>
      </w:pPr>
    </w:p>
    <w:p>
      <w:pPr>
        <w:jc w:val="center"/>
        <w:rPr>
          <w:rFonts w:ascii="楷体_GB2312" w:hAnsi="仿宋" w:eastAsia="楷体_GB2312"/>
          <w:b/>
          <w:sz w:val="32"/>
          <w:szCs w:val="32"/>
        </w:rPr>
      </w:pPr>
      <w:r>
        <w:rPr>
          <w:rFonts w:ascii="楷体_GB2312" w:hAnsi="仿宋" w:eastAsia="楷体_GB2312"/>
          <w:b/>
          <w:sz w:val="32"/>
          <w:szCs w:val="32"/>
        </w:rPr>
        <w:t>第五章 评审原则及程序</w:t>
      </w:r>
    </w:p>
    <w:p>
      <w:pPr>
        <w:spacing w:line="520" w:lineRule="exact"/>
        <w:rPr>
          <w:rFonts w:ascii="仿宋_GB2312" w:hAnsi="仿宋" w:eastAsia="仿宋_GB2312"/>
          <w:sz w:val="32"/>
          <w:szCs w:val="32"/>
        </w:rPr>
      </w:pPr>
      <w:r>
        <w:rPr>
          <w:rFonts w:hint="eastAsia" w:ascii="仿宋" w:hAnsi="仿宋" w:eastAsia="仿宋"/>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b/>
          <w:color w:val="000000"/>
          <w:sz w:val="32"/>
          <w:szCs w:val="32"/>
        </w:rPr>
        <w:t>第十四条</w:t>
      </w:r>
      <w:r>
        <w:rPr>
          <w:rFonts w:hint="eastAsia" w:ascii="仿宋_GB2312" w:hAnsi="仿宋" w:eastAsia="仿宋_GB2312"/>
          <w:sz w:val="32"/>
          <w:szCs w:val="32"/>
        </w:rPr>
        <w:t xml:space="preserve">  研究生奖学金的评审工作坚持公平、公正、公开、择优的原则。</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b/>
          <w:color w:val="000000"/>
          <w:sz w:val="32"/>
          <w:szCs w:val="32"/>
        </w:rPr>
        <w:t>第十五条</w:t>
      </w:r>
      <w:r>
        <w:rPr>
          <w:rFonts w:hint="eastAsia" w:ascii="仿宋_GB2312" w:hAnsi="仿宋" w:eastAsia="仿宋_GB2312"/>
          <w:sz w:val="32"/>
          <w:szCs w:val="32"/>
        </w:rPr>
        <w:t xml:space="preserve">  各培养单位可根据本单位具体情况，在学校核定的奖学金总额内对研究生学业奖学金的奖励比例及等次进行动态</w:t>
      </w:r>
      <w:bookmarkStart w:id="1" w:name="page38"/>
      <w:bookmarkEnd w:id="1"/>
      <w:r>
        <w:rPr>
          <w:rFonts w:hint="eastAsia" w:ascii="仿宋_GB2312" w:hAnsi="仿宋" w:eastAsia="仿宋_GB2312"/>
          <w:sz w:val="32"/>
          <w:szCs w:val="32"/>
        </w:rPr>
        <w:t>调整。</w:t>
      </w:r>
    </w:p>
    <w:p>
      <w:pPr>
        <w:spacing w:line="520" w:lineRule="exact"/>
        <w:rPr>
          <w:rFonts w:ascii="仿宋_GB2312" w:hAnsi="仿宋" w:eastAsia="仿宋_GB2312"/>
          <w:sz w:val="32"/>
          <w:szCs w:val="32"/>
        </w:rPr>
      </w:pPr>
      <w:r>
        <w:rPr>
          <w:rFonts w:hint="eastAsia" w:ascii="仿宋_GB2312" w:hAnsi="仿宋" w:eastAsia="仿宋_GB2312"/>
          <w:b/>
          <w:sz w:val="32"/>
          <w:szCs w:val="32"/>
        </w:rPr>
        <w:t xml:space="preserve">    </w:t>
      </w:r>
      <w:r>
        <w:rPr>
          <w:rFonts w:hint="eastAsia" w:ascii="仿宋_GB2312" w:hAnsi="仿宋" w:eastAsia="仿宋_GB2312"/>
          <w:b/>
          <w:color w:val="000000"/>
          <w:sz w:val="32"/>
          <w:szCs w:val="32"/>
        </w:rPr>
        <w:t>第十六条</w:t>
      </w:r>
      <w:r>
        <w:rPr>
          <w:rFonts w:hint="eastAsia" w:ascii="仿宋_GB2312" w:hAnsi="仿宋" w:eastAsia="仿宋_GB2312"/>
          <w:b/>
          <w:sz w:val="32"/>
          <w:szCs w:val="32"/>
        </w:rPr>
        <w:t xml:space="preserve">  </w:t>
      </w:r>
      <w:r>
        <w:rPr>
          <w:rFonts w:hint="eastAsia" w:ascii="仿宋_GB2312" w:hAnsi="仿宋" w:eastAsia="仿宋_GB2312"/>
          <w:sz w:val="32"/>
          <w:szCs w:val="32"/>
        </w:rPr>
        <w:t>各培养单位根据本办法，结合自身实际情况和学科特点，制定本单位研究生奖学金评审实施细则。细则与本办法不一致时，以本办法为准。细则须在本单位公示，公示无异议报校学生评优评奖委员会审定后实施。审定后的细则原则上不得变动，确需变动的，须按程序重新上报审定。</w:t>
      </w:r>
    </w:p>
    <w:p>
      <w:pPr>
        <w:spacing w:line="520" w:lineRule="exact"/>
        <w:ind w:firstLine="480"/>
        <w:rPr>
          <w:rFonts w:ascii="仿宋_GB2312" w:hAnsi="仿宋" w:eastAsia="仿宋_GB2312"/>
          <w:sz w:val="32"/>
          <w:szCs w:val="32"/>
        </w:rPr>
      </w:pPr>
      <w:r>
        <w:rPr>
          <w:rFonts w:hint="eastAsia" w:ascii="仿宋_GB2312" w:hAnsi="仿宋" w:eastAsia="仿宋_GB2312"/>
          <w:b/>
          <w:sz w:val="32"/>
          <w:szCs w:val="32"/>
        </w:rPr>
        <w:t xml:space="preserve">第十七条  </w:t>
      </w:r>
      <w:r>
        <w:rPr>
          <w:rFonts w:hint="eastAsia" w:ascii="仿宋_GB2312" w:hAnsi="仿宋" w:eastAsia="仿宋_GB2312"/>
          <w:sz w:val="32"/>
          <w:szCs w:val="32"/>
        </w:rPr>
        <w:t>奖学金的评定共分二个批次评定。国家奖学金、特等奖学金和单项奖学金为第一批次评定，评定时间为每年的年末，由学校统一组织评审；一、二、三等学业奖学金为第二批次评定，评定时间为每年的年初，由各培养单位根据下达指示按照办法组织评定。</w:t>
      </w:r>
    </w:p>
    <w:p>
      <w:pPr>
        <w:spacing w:line="520" w:lineRule="exact"/>
        <w:rPr>
          <w:rFonts w:ascii="仿宋_GB2312" w:hAnsi="仿宋" w:eastAsia="仿宋_GB2312"/>
          <w:sz w:val="32"/>
          <w:szCs w:val="32"/>
        </w:rPr>
      </w:pPr>
      <w:r>
        <w:rPr>
          <w:rFonts w:hint="eastAsia" w:ascii="仿宋_GB2312" w:hAnsi="仿宋" w:eastAsia="仿宋_GB2312"/>
          <w:b/>
          <w:color w:val="FF0000"/>
          <w:sz w:val="32"/>
          <w:szCs w:val="32"/>
        </w:rPr>
        <w:t xml:space="preserve">    </w:t>
      </w:r>
      <w:r>
        <w:rPr>
          <w:rFonts w:hint="eastAsia" w:ascii="仿宋_GB2312" w:hAnsi="仿宋" w:eastAsia="仿宋_GB2312"/>
          <w:b/>
          <w:color w:val="000000"/>
          <w:sz w:val="32"/>
          <w:szCs w:val="32"/>
        </w:rPr>
        <w:t>第十</w:t>
      </w:r>
      <w:r>
        <w:rPr>
          <w:rFonts w:hint="eastAsia" w:ascii="仿宋_GB2312" w:hAnsi="仿宋" w:eastAsia="仿宋_GB2312"/>
          <w:b/>
          <w:sz w:val="32"/>
          <w:szCs w:val="32"/>
        </w:rPr>
        <w:t>八</w:t>
      </w:r>
      <w:r>
        <w:rPr>
          <w:rFonts w:hint="eastAsia" w:ascii="仿宋_GB2312" w:hAnsi="仿宋" w:eastAsia="仿宋_GB2312"/>
          <w:b/>
          <w:color w:val="000000"/>
          <w:sz w:val="32"/>
          <w:szCs w:val="32"/>
        </w:rPr>
        <w:t>条</w:t>
      </w:r>
      <w:r>
        <w:rPr>
          <w:rFonts w:hint="eastAsia" w:ascii="仿宋_GB2312" w:hAnsi="仿宋" w:eastAsia="仿宋_GB2312"/>
          <w:b/>
          <w:sz w:val="32"/>
          <w:szCs w:val="32"/>
        </w:rPr>
        <w:t xml:space="preserve">  </w:t>
      </w:r>
      <w:r>
        <w:rPr>
          <w:rFonts w:hint="eastAsia" w:ascii="仿宋_GB2312" w:hAnsi="仿宋" w:eastAsia="仿宋_GB2312"/>
          <w:sz w:val="32"/>
          <w:szCs w:val="32"/>
        </w:rPr>
        <w:t>评审程序。</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1.校学生评优评奖委员会部署评审工作；</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2.申请者登录贵州大学研究生综合管理系统提出申请；</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3.各培养单位研究生奖学金评审工作小组审查，评审并公示拟评定名单，公示期为3个工作日。公示无异议，报研究生院、党委研究生工作部（研究生管理处）；若有异议，可在公示期内向培养单位或研究生院、党委研究生工作部（研究生管理处）反映；</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4.校学生评优评奖委员会审核，在全校范围内公示，公示期为5个工作日，若有异议，可在公示期间向规定的部门或机构反映；</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5.学校发文表彰，相关职能部门发放获奖证书和奖学金； </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6.培养单位将获奖资料归入研究生学籍档案。</w:t>
      </w:r>
    </w:p>
    <w:p>
      <w:pPr>
        <w:spacing w:line="520" w:lineRule="exact"/>
        <w:rPr>
          <w:rFonts w:ascii="仿宋_GB2312" w:hAnsi="仿宋" w:eastAsia="仿宋_GB2312"/>
          <w:sz w:val="32"/>
          <w:szCs w:val="32"/>
        </w:rPr>
      </w:pPr>
      <w:r>
        <w:rPr>
          <w:rFonts w:hint="eastAsia" w:ascii="仿宋_GB2312" w:hAnsi="仿宋" w:eastAsia="仿宋_GB2312"/>
          <w:b/>
          <w:color w:val="FF0000"/>
          <w:sz w:val="32"/>
          <w:szCs w:val="32"/>
        </w:rPr>
        <w:t xml:space="preserve">    </w:t>
      </w:r>
      <w:r>
        <w:rPr>
          <w:rFonts w:hint="eastAsia" w:ascii="仿宋_GB2312" w:hAnsi="仿宋" w:eastAsia="仿宋_GB2312"/>
          <w:b/>
          <w:color w:val="000000"/>
          <w:sz w:val="32"/>
          <w:szCs w:val="32"/>
        </w:rPr>
        <w:t xml:space="preserve">第十九条  </w:t>
      </w:r>
      <w:r>
        <w:rPr>
          <w:rFonts w:hint="eastAsia" w:ascii="仿宋_GB2312" w:hAnsi="仿宋" w:eastAsia="仿宋_GB2312"/>
          <w:sz w:val="32"/>
          <w:szCs w:val="32"/>
        </w:rPr>
        <w:t>各培养单位参照本办法，可自行制定非全日制研究生奖学金评定办法，获奖比例不超过非全日制研究生的20%。学校颁发证书，不颁发奖金。</w:t>
      </w:r>
    </w:p>
    <w:p>
      <w:pPr>
        <w:spacing w:line="520" w:lineRule="exact"/>
        <w:rPr>
          <w:rFonts w:ascii="仿宋_GB2312" w:hAnsi="仿宋" w:eastAsia="仿宋_GB2312"/>
          <w:sz w:val="32"/>
          <w:szCs w:val="32"/>
        </w:rPr>
      </w:pPr>
      <w:r>
        <w:rPr>
          <w:rFonts w:hint="eastAsia" w:ascii="仿宋_GB2312" w:hAnsi="仿宋" w:eastAsia="仿宋_GB2312"/>
          <w:b/>
          <w:color w:val="000000"/>
          <w:sz w:val="32"/>
          <w:szCs w:val="32"/>
        </w:rPr>
        <w:t xml:space="preserve">    第二十条  </w:t>
      </w:r>
      <w:r>
        <w:rPr>
          <w:rFonts w:hint="eastAsia" w:ascii="仿宋_GB2312" w:hAnsi="仿宋" w:eastAsia="仿宋_GB2312"/>
          <w:sz w:val="32"/>
          <w:szCs w:val="32"/>
        </w:rPr>
        <w:t>本办法由校学生评优评奖委员会授权研究生院、党委研究生工作部（研究生管理处）、学生资助管理中心负责解释。</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b/>
          <w:color w:val="000000"/>
          <w:sz w:val="32"/>
          <w:szCs w:val="32"/>
        </w:rPr>
        <w:t xml:space="preserve">第二十一条  </w:t>
      </w:r>
      <w:r>
        <w:rPr>
          <w:rFonts w:hint="eastAsia" w:ascii="仿宋_GB2312" w:hAnsi="仿宋" w:eastAsia="仿宋_GB2312"/>
          <w:sz w:val="32"/>
          <w:szCs w:val="32"/>
        </w:rPr>
        <w:t>本办法自2018年9月1日起施行，原《贵州大学研究生奖学金评定办法》（试行）同时废止。</w:t>
      </w:r>
    </w:p>
    <w:p>
      <w:pPr>
        <w:spacing w:line="520" w:lineRule="exact"/>
        <w:rPr>
          <w:rFonts w:ascii="仿宋_GB2312" w:hAnsi="仿宋" w:eastAsia="仿宋_GB2312"/>
          <w:sz w:val="32"/>
          <w:szCs w:val="32"/>
        </w:rPr>
      </w:pPr>
    </w:p>
    <w:p>
      <w:pPr>
        <w:spacing w:line="520" w:lineRule="exact"/>
        <w:ind w:firstLine="800" w:firstLineChars="250"/>
        <w:rPr>
          <w:rFonts w:ascii="仿宋_GB2312" w:hAnsi="仿宋" w:eastAsia="仿宋_GB2312"/>
          <w:sz w:val="32"/>
          <w:szCs w:val="32"/>
        </w:rPr>
      </w:pPr>
    </w:p>
    <w:p>
      <w:pPr>
        <w:spacing w:line="520" w:lineRule="exact"/>
        <w:ind w:firstLine="800" w:firstLineChars="250"/>
        <w:rPr>
          <w:rFonts w:ascii="仿宋_GB2312" w:hAnsi="仿宋" w:eastAsia="仿宋_GB2312"/>
          <w:sz w:val="32"/>
          <w:szCs w:val="32"/>
        </w:rPr>
      </w:pPr>
      <w:r>
        <w:rPr>
          <w:rFonts w:hint="eastAsia" w:ascii="仿宋_GB2312" w:hAnsi="仿宋" w:eastAsia="仿宋_GB2312"/>
          <w:sz w:val="32"/>
          <w:szCs w:val="32"/>
        </w:rPr>
        <w:t>附件：《贵州大学研究生综合测评实施细则》</w:t>
      </w:r>
    </w:p>
    <w:p>
      <w:pPr>
        <w:spacing w:line="520" w:lineRule="exact"/>
        <w:rPr>
          <w:rFonts w:ascii="仿宋_GB2312" w:hAnsi="仿宋" w:eastAsia="仿宋_GB2312"/>
          <w:sz w:val="32"/>
          <w:szCs w:val="32"/>
        </w:rPr>
      </w:pPr>
    </w:p>
    <w:p>
      <w:pPr>
        <w:widowControl/>
        <w:jc w:val="left"/>
        <w:rPr>
          <w:rFonts w:ascii="仿宋" w:hAnsi="仿宋" w:eastAsia="仿宋"/>
          <w:sz w:val="28"/>
          <w:szCs w:val="32"/>
        </w:rPr>
      </w:pPr>
      <w:r>
        <w:rPr>
          <w:rFonts w:ascii="仿宋" w:hAnsi="仿宋" w:eastAsia="仿宋"/>
          <w:sz w:val="28"/>
          <w:szCs w:val="32"/>
        </w:rPr>
        <w:br w:type="page"/>
      </w:r>
    </w:p>
    <w:p>
      <w:pPr>
        <w:rPr>
          <w:rFonts w:ascii="仿宋" w:hAnsi="仿宋" w:eastAsia="仿宋"/>
          <w:sz w:val="28"/>
          <w:szCs w:val="32"/>
        </w:rPr>
      </w:pPr>
      <w:r>
        <w:rPr>
          <w:rFonts w:hint="eastAsia" w:ascii="仿宋" w:hAnsi="仿宋" w:eastAsia="仿宋"/>
          <w:sz w:val="28"/>
          <w:szCs w:val="32"/>
        </w:rPr>
        <w:t>附件：</w:t>
      </w:r>
    </w:p>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贵州大学研究生综合测评实施细则</w:t>
      </w:r>
    </w:p>
    <w:p>
      <w:pPr>
        <w:spacing w:line="500" w:lineRule="exact"/>
        <w:ind w:firstLine="680" w:firstLineChars="200"/>
        <w:rPr>
          <w:rFonts w:ascii="仿宋_GB2312" w:hAnsi="宋体" w:eastAsia="仿宋_GB2312" w:cs="Tahoma"/>
          <w:color w:val="000000"/>
          <w:sz w:val="34"/>
          <w:szCs w:val="34"/>
        </w:rPr>
      </w:pPr>
    </w:p>
    <w:p>
      <w:pPr>
        <w:pStyle w:val="12"/>
        <w:numPr>
          <w:ilvl w:val="0"/>
          <w:numId w:val="1"/>
        </w:numPr>
        <w:spacing w:afterLines="50" w:line="500" w:lineRule="exact"/>
        <w:ind w:left="4417" w:hanging="1179" w:firstLineChars="0"/>
        <w:rPr>
          <w:rFonts w:ascii="楷体_GB2312" w:hAnsi="宋体" w:eastAsia="楷体_GB2312" w:cs="Tahoma"/>
          <w:b/>
          <w:color w:val="000000"/>
          <w:sz w:val="32"/>
          <w:szCs w:val="32"/>
        </w:rPr>
      </w:pPr>
      <w:r>
        <w:rPr>
          <w:rFonts w:hint="eastAsia" w:ascii="楷体_GB2312" w:hAnsi="宋体" w:eastAsia="楷体_GB2312" w:cs="Tahoma"/>
          <w:b/>
          <w:color w:val="000000"/>
          <w:sz w:val="32"/>
          <w:szCs w:val="32"/>
        </w:rPr>
        <w:t xml:space="preserve">总则 </w:t>
      </w:r>
    </w:p>
    <w:p>
      <w:pPr>
        <w:spacing w:line="520" w:lineRule="exact"/>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 xml:space="preserve">    第一条</w:t>
      </w:r>
      <w:r>
        <w:rPr>
          <w:rFonts w:hint="eastAsia" w:ascii="仿宋_GB2312" w:hAnsi="宋体" w:eastAsia="仿宋_GB2312" w:cs="Tahoma"/>
          <w:color w:val="000000"/>
          <w:sz w:val="32"/>
          <w:szCs w:val="32"/>
        </w:rPr>
        <w:t xml:space="preserve"> 研究生综合成绩测评是奖学金评审的重要依据。根据我校实际特制定《贵州大学研究生综合测评实施细则》</w:t>
      </w:r>
      <w:r>
        <w:rPr>
          <w:rFonts w:ascii="仿宋_GB2312" w:hAnsi="宋体" w:eastAsia="仿宋_GB2312" w:cs="Tahoma"/>
          <w:color w:val="000000"/>
          <w:sz w:val="32"/>
          <w:szCs w:val="32"/>
        </w:rPr>
        <w:t>(</w:t>
      </w:r>
      <w:r>
        <w:rPr>
          <w:rFonts w:hint="eastAsia" w:ascii="仿宋_GB2312" w:hAnsi="宋体" w:eastAsia="仿宋_GB2312" w:cs="Tahoma"/>
          <w:color w:val="000000"/>
          <w:sz w:val="32"/>
          <w:szCs w:val="32"/>
        </w:rPr>
        <w:t>以下简称《细则》</w:t>
      </w:r>
      <w:r>
        <w:rPr>
          <w:rFonts w:ascii="仿宋_GB2312" w:hAnsi="宋体" w:eastAsia="仿宋_GB2312" w:cs="Tahoma"/>
          <w:color w:val="000000"/>
          <w:sz w:val="32"/>
          <w:szCs w:val="32"/>
        </w:rPr>
        <w:t>)</w:t>
      </w:r>
      <w:r>
        <w:rPr>
          <w:rFonts w:hint="eastAsia" w:ascii="仿宋_GB2312" w:hAnsi="宋体" w:eastAsia="仿宋_GB2312" w:cs="Tahoma"/>
          <w:color w:val="000000"/>
          <w:sz w:val="32"/>
          <w:szCs w:val="32"/>
        </w:rPr>
        <w:t>。</w:t>
      </w:r>
    </w:p>
    <w:p>
      <w:pPr>
        <w:spacing w:line="520" w:lineRule="exact"/>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 xml:space="preserve">    第二条</w:t>
      </w:r>
      <w:r>
        <w:rPr>
          <w:rFonts w:ascii="仿宋_GB2312" w:hAnsi="宋体" w:eastAsia="仿宋_GB2312" w:cs="Tahoma"/>
          <w:color w:val="000000"/>
          <w:sz w:val="32"/>
          <w:szCs w:val="32"/>
        </w:rPr>
        <w:t xml:space="preserve"> </w:t>
      </w:r>
      <w:r>
        <w:rPr>
          <w:rFonts w:hint="eastAsia" w:ascii="仿宋_GB2312" w:hAnsi="宋体" w:eastAsia="仿宋_GB2312" w:cs="Tahoma"/>
          <w:color w:val="000000"/>
          <w:sz w:val="32"/>
          <w:szCs w:val="32"/>
        </w:rPr>
        <w:t>《细则》适用于正式注册的全日制博士、硕士研究生。</w:t>
      </w:r>
    </w:p>
    <w:p>
      <w:pPr>
        <w:spacing w:line="520" w:lineRule="exact"/>
        <w:ind w:firstLine="643" w:firstLineChars="200"/>
        <w:rPr>
          <w:rFonts w:ascii="仿宋_GB2312" w:hAnsi="宋体" w:eastAsia="仿宋_GB2312" w:cs="Tahoma"/>
          <w:b/>
          <w:color w:val="000000"/>
          <w:sz w:val="32"/>
          <w:szCs w:val="32"/>
        </w:rPr>
      </w:pPr>
    </w:p>
    <w:p>
      <w:pPr>
        <w:spacing w:line="520" w:lineRule="exact"/>
        <w:ind w:firstLine="643" w:firstLineChars="200"/>
        <w:rPr>
          <w:rFonts w:ascii="楷体_GB2312" w:hAnsi="宋体" w:eastAsia="楷体_GB2312" w:cs="Tahoma"/>
          <w:b/>
          <w:color w:val="000000"/>
          <w:sz w:val="32"/>
          <w:szCs w:val="32"/>
        </w:rPr>
      </w:pPr>
      <w:r>
        <w:rPr>
          <w:rFonts w:ascii="仿宋_GB2312" w:hAnsi="宋体" w:eastAsia="仿宋_GB2312" w:cs="Tahoma"/>
          <w:b/>
          <w:color w:val="000000"/>
          <w:sz w:val="32"/>
          <w:szCs w:val="32"/>
        </w:rPr>
        <w:t xml:space="preserve">      </w:t>
      </w:r>
      <w:r>
        <w:rPr>
          <w:rFonts w:hint="eastAsia" w:ascii="楷体_GB2312" w:hAnsi="宋体" w:eastAsia="楷体_GB2312" w:cs="Tahoma"/>
          <w:b/>
          <w:color w:val="000000"/>
          <w:sz w:val="32"/>
          <w:szCs w:val="32"/>
        </w:rPr>
        <w:t xml:space="preserve">      第二章 总成绩测评分数 </w:t>
      </w:r>
    </w:p>
    <w:p>
      <w:pPr>
        <w:spacing w:line="520" w:lineRule="exact"/>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 xml:space="preserve">    第三条</w:t>
      </w:r>
      <w:r>
        <w:rPr>
          <w:rFonts w:hint="eastAsia" w:ascii="仿宋_GB2312" w:hAnsi="宋体" w:eastAsia="仿宋_GB2312" w:cs="Tahoma"/>
          <w:color w:val="000000"/>
          <w:sz w:val="32"/>
          <w:szCs w:val="32"/>
        </w:rPr>
        <w:t xml:space="preserve"> 总成绩由思想政治分、课程综合成绩和科研分组成，权重及计算方法如下：</w:t>
      </w:r>
    </w:p>
    <w:p>
      <w:pPr>
        <w:rPr>
          <w:rFonts w:ascii="仿宋_GB2312" w:hAnsi="宋体" w:eastAsia="仿宋_GB2312" w:cs="Tahoma"/>
          <w:color w:val="000000"/>
          <w:sz w:val="32"/>
          <w:szCs w:val="32"/>
        </w:rPr>
      </w:pPr>
      <w:r>
        <w:rPr>
          <w:rFonts w:ascii="仿宋_GB2312" w:hAnsi="宋体" w:eastAsia="仿宋_GB2312" w:cs="Tahoma"/>
          <w:color w:val="000000"/>
          <w:sz w:val="32"/>
          <w:szCs w:val="32"/>
        </w:rPr>
        <w:drawing>
          <wp:inline distT="0" distB="0" distL="0" distR="0">
            <wp:extent cx="4112260" cy="905510"/>
            <wp:effectExtent l="0" t="0" r="2540" b="8890"/>
            <wp:docPr id="1" name="图片 1" descr="daum_equation_153353030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um_equation_15335303054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12260" cy="905510"/>
                    </a:xfrm>
                    <a:prstGeom prst="rect">
                      <a:avLst/>
                    </a:prstGeom>
                    <a:noFill/>
                    <a:ln>
                      <a:noFill/>
                    </a:ln>
                  </pic:spPr>
                </pic:pic>
              </a:graphicData>
            </a:graphic>
          </wp:inline>
        </w:drawing>
      </w:r>
    </w:p>
    <w:p>
      <w:pPr>
        <w:spacing w:line="500" w:lineRule="exact"/>
        <w:rPr>
          <w:rFonts w:ascii="仿宋_GB2312" w:hAnsi="宋体" w:eastAsia="仿宋_GB2312" w:cs="Tahoma"/>
          <w:color w:val="000000"/>
          <w:sz w:val="32"/>
          <w:szCs w:val="32"/>
        </w:rPr>
      </w:pPr>
      <w:r>
        <w:rPr>
          <w:rFonts w:hint="eastAsia" w:ascii="仿宋_GB2312" w:hAnsi="宋体" w:eastAsia="仿宋_GB2312" w:cs="Tahoma"/>
          <w:color w:val="000000"/>
          <w:sz w:val="32"/>
          <w:szCs w:val="32"/>
        </w:rPr>
        <w:t>式中：A为思想政治分，B为课程综合成绩，C为科研分，均按百分制计分。</w:t>
      </w:r>
    </w:p>
    <w:p>
      <w:pPr>
        <w:spacing w:line="500" w:lineRule="exact"/>
        <w:ind w:firstLine="643" w:firstLineChars="200"/>
        <w:rPr>
          <w:rFonts w:ascii="仿宋_GB2312" w:hAnsi="宋体" w:eastAsia="仿宋_GB2312" w:cs="Tahoma"/>
          <w:b/>
          <w:color w:val="000000"/>
          <w:sz w:val="32"/>
          <w:szCs w:val="32"/>
        </w:rPr>
      </w:pPr>
    </w:p>
    <w:p>
      <w:pPr>
        <w:jc w:val="center"/>
        <w:rPr>
          <w:rFonts w:ascii="楷体_GB2312" w:hAnsi="仿宋" w:eastAsia="楷体_GB2312"/>
          <w:b/>
          <w:sz w:val="32"/>
          <w:szCs w:val="32"/>
        </w:rPr>
      </w:pPr>
      <w:r>
        <w:rPr>
          <w:rFonts w:hint="eastAsia" w:ascii="仿宋_GB2312" w:hAnsi="宋体" w:eastAsia="仿宋_GB2312" w:cs="Tahoma"/>
          <w:b/>
          <w:color w:val="000000"/>
          <w:sz w:val="32"/>
          <w:szCs w:val="32"/>
        </w:rPr>
        <w:t xml:space="preserve">   </w:t>
      </w:r>
      <w:r>
        <w:rPr>
          <w:rFonts w:hint="eastAsia" w:ascii="楷体_GB2312" w:hAnsi="仿宋" w:eastAsia="楷体_GB2312"/>
          <w:b/>
          <w:sz w:val="32"/>
          <w:szCs w:val="32"/>
        </w:rPr>
        <w:t>第三章</w:t>
      </w:r>
      <w:r>
        <w:rPr>
          <w:rFonts w:ascii="楷体_GB2312" w:hAnsi="仿宋" w:eastAsia="楷体_GB2312"/>
          <w:b/>
          <w:sz w:val="32"/>
          <w:szCs w:val="32"/>
        </w:rPr>
        <w:t xml:space="preserve"> </w:t>
      </w:r>
      <w:r>
        <w:rPr>
          <w:rFonts w:hint="eastAsia" w:ascii="楷体_GB2312" w:hAnsi="仿宋" w:eastAsia="楷体_GB2312"/>
          <w:b/>
          <w:sz w:val="32"/>
          <w:szCs w:val="32"/>
        </w:rPr>
        <w:t>思想政治测评分数</w:t>
      </w:r>
      <w:r>
        <w:rPr>
          <w:rFonts w:ascii="楷体_GB2312" w:hAnsi="仿宋" w:eastAsia="楷体_GB2312"/>
          <w:b/>
          <w:sz w:val="32"/>
          <w:szCs w:val="32"/>
        </w:rPr>
        <w:t xml:space="preserve"> </w:t>
      </w:r>
    </w:p>
    <w:p>
      <w:pPr>
        <w:spacing w:line="520" w:lineRule="exact"/>
        <w:rPr>
          <w:rFonts w:ascii="仿宋_GB2312" w:hAnsi="宋体" w:eastAsia="仿宋_GB2312" w:cs="Tahoma"/>
          <w:b/>
          <w:color w:val="000000"/>
          <w:sz w:val="32"/>
          <w:szCs w:val="32"/>
        </w:rPr>
      </w:pPr>
      <w:r>
        <w:rPr>
          <w:rFonts w:hint="eastAsia" w:ascii="仿宋_GB2312" w:hAnsi="宋体" w:eastAsia="仿宋_GB2312" w:cs="Tahoma"/>
          <w:b/>
          <w:color w:val="000000"/>
          <w:sz w:val="32"/>
          <w:szCs w:val="32"/>
        </w:rPr>
        <w:t xml:space="preserve">    第四条</w:t>
      </w:r>
      <w:r>
        <w:rPr>
          <w:rFonts w:hint="eastAsia" w:ascii="仿宋_GB2312" w:hAnsi="宋体" w:eastAsia="仿宋_GB2312" w:cs="Tahoma"/>
          <w:color w:val="000000"/>
          <w:sz w:val="32"/>
          <w:szCs w:val="32"/>
        </w:rPr>
        <w:t xml:space="preserve"> 思想政治分包括四个部分，即思想政治分A（100%）</w:t>
      </w:r>
      <w:r>
        <w:rPr>
          <w:rFonts w:ascii="仿宋_GB2312" w:hAnsi="宋体" w:eastAsia="仿宋_GB2312" w:cs="Tahoma"/>
          <w:color w:val="000000"/>
          <w:sz w:val="32"/>
          <w:szCs w:val="32"/>
        </w:rPr>
        <w:t>=</w:t>
      </w:r>
      <w:r>
        <w:rPr>
          <w:rFonts w:hint="eastAsia" w:ascii="仿宋_GB2312" w:hAnsi="宋体" w:eastAsia="仿宋_GB2312" w:cs="Tahoma"/>
          <w:color w:val="000000"/>
          <w:sz w:val="32"/>
          <w:szCs w:val="32"/>
        </w:rPr>
        <w:t>导师评分A</w:t>
      </w:r>
      <w:r>
        <w:rPr>
          <w:rFonts w:hint="eastAsia" w:ascii="仿宋_GB2312" w:hAnsi="宋体" w:eastAsia="仿宋_GB2312" w:cs="Tahoma"/>
          <w:b/>
          <w:color w:val="000000"/>
          <w:sz w:val="32"/>
          <w:szCs w:val="32"/>
          <w:vertAlign w:val="subscript"/>
        </w:rPr>
        <w:t>1</w:t>
      </w:r>
      <w:r>
        <w:rPr>
          <w:rFonts w:hint="eastAsia" w:ascii="仿宋_GB2312" w:hAnsi="宋体" w:eastAsia="仿宋_GB2312" w:cs="Tahoma"/>
          <w:color w:val="000000"/>
          <w:sz w:val="32"/>
          <w:szCs w:val="32"/>
        </w:rPr>
        <w:t>（40%）+管理人员评分A</w:t>
      </w:r>
      <w:r>
        <w:rPr>
          <w:rFonts w:hint="eastAsia" w:ascii="仿宋_GB2312" w:hAnsi="宋体" w:eastAsia="仿宋_GB2312" w:cs="Tahoma"/>
          <w:b/>
          <w:color w:val="000000"/>
          <w:sz w:val="32"/>
          <w:szCs w:val="32"/>
          <w:vertAlign w:val="subscript"/>
        </w:rPr>
        <w:t>2</w:t>
      </w:r>
      <w:r>
        <w:rPr>
          <w:rFonts w:hint="eastAsia" w:ascii="仿宋_GB2312" w:hAnsi="宋体" w:eastAsia="仿宋_GB2312" w:cs="Tahoma"/>
          <w:color w:val="000000"/>
          <w:sz w:val="32"/>
          <w:szCs w:val="32"/>
        </w:rPr>
        <w:t>（30%）+学生互评分A</w:t>
      </w:r>
      <w:r>
        <w:rPr>
          <w:rFonts w:hint="eastAsia" w:ascii="仿宋_GB2312" w:hAnsi="宋体" w:eastAsia="仿宋_GB2312" w:cs="Tahoma"/>
          <w:color w:val="000000"/>
          <w:sz w:val="32"/>
          <w:szCs w:val="32"/>
          <w:vertAlign w:val="subscript"/>
        </w:rPr>
        <w:t>3</w:t>
      </w:r>
      <w:r>
        <w:rPr>
          <w:rFonts w:hint="eastAsia" w:ascii="仿宋_GB2312" w:hAnsi="宋体" w:eastAsia="仿宋_GB2312" w:cs="Tahoma"/>
          <w:color w:val="000000"/>
          <w:sz w:val="32"/>
          <w:szCs w:val="32"/>
        </w:rPr>
        <w:t>（30%）- A</w:t>
      </w:r>
      <w:r>
        <w:rPr>
          <w:rFonts w:hint="eastAsia" w:ascii="仿宋_GB2312" w:hAnsi="宋体" w:eastAsia="仿宋_GB2312" w:cs="Tahoma"/>
          <w:color w:val="000000"/>
          <w:sz w:val="32"/>
          <w:szCs w:val="32"/>
          <w:vertAlign w:val="subscript"/>
        </w:rPr>
        <w:t>4</w:t>
      </w:r>
      <w:r>
        <w:rPr>
          <w:rFonts w:hint="eastAsia" w:ascii="仿宋_GB2312" w:hAnsi="宋体" w:eastAsia="仿宋_GB2312" w:cs="Tahoma"/>
          <w:b/>
          <w:color w:val="000000"/>
          <w:sz w:val="32"/>
          <w:szCs w:val="32"/>
        </w:rPr>
        <w:t>。</w:t>
      </w:r>
    </w:p>
    <w:p>
      <w:pPr>
        <w:spacing w:line="520" w:lineRule="exact"/>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 xml:space="preserve">    第五条</w:t>
      </w:r>
      <w:r>
        <w:rPr>
          <w:rFonts w:hint="eastAsia" w:ascii="仿宋_GB2312" w:hAnsi="宋体" w:eastAsia="仿宋_GB2312" w:cs="Tahoma"/>
          <w:color w:val="000000"/>
          <w:sz w:val="32"/>
          <w:szCs w:val="32"/>
        </w:rPr>
        <w:t xml:space="preserve">  评分主要参考参评同学以下方面的表现进行打分</w:t>
      </w:r>
      <w:r>
        <w:rPr>
          <w:rFonts w:ascii="仿宋_GB2312" w:hAnsi="宋体" w:eastAsia="仿宋_GB2312" w:cs="Tahoma"/>
          <w:color w:val="000000"/>
          <w:sz w:val="32"/>
          <w:szCs w:val="32"/>
        </w:rPr>
        <w:t xml:space="preserve">: </w:t>
      </w:r>
    </w:p>
    <w:p>
      <w:pPr>
        <w:spacing w:line="520" w:lineRule="exact"/>
        <w:rPr>
          <w:rFonts w:ascii="仿宋_GB2312" w:hAnsi="宋体" w:eastAsia="仿宋_GB2312" w:cs="Tahoma"/>
          <w:color w:val="000000"/>
          <w:sz w:val="32"/>
          <w:szCs w:val="32"/>
        </w:rPr>
      </w:pPr>
      <w:r>
        <w:rPr>
          <w:rFonts w:hint="eastAsia" w:ascii="仿宋_GB2312" w:hAnsi="宋体" w:eastAsia="仿宋_GB2312" w:cs="Tahoma"/>
          <w:color w:val="000000"/>
          <w:sz w:val="32"/>
          <w:szCs w:val="32"/>
        </w:rPr>
        <w:t xml:space="preserve">    1．拥护中国共产党的领导，认真学习马克思列宁主义、毛泽东思想、邓小平理论、“三个代表”重要思想、科学发展观、习近平新时代中国特色社会主义思想；</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2.自觉遵守国家法律法规，具有较强的社会责任和集体荣誉感；</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3.自觉遵守校纪校规，自觉遵守实验室的规定和安全规范，自觉遵守科学道德和学术规范要求。自觉维护社会公德，在公共场所举止文明得体；</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4.学风端正，学习目的明确，有科学的思想方法和严谨的治学精神。谦虚好学，刻苦认真，不迟到，不早退，不旷课。考风良好，考试不舞弊；</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5.遵守宿舍管理规定，具有良好的生活习惯，宿舍卫生情况良好；</w:t>
      </w:r>
    </w:p>
    <w:p>
      <w:pPr>
        <w:spacing w:line="520" w:lineRule="exact"/>
        <w:rPr>
          <w:rFonts w:ascii="仿宋_GB2312" w:hAnsi="宋体" w:eastAsia="仿宋_GB2312" w:cs="Tahoma"/>
          <w:color w:val="000000"/>
          <w:sz w:val="32"/>
          <w:szCs w:val="32"/>
        </w:rPr>
      </w:pPr>
      <w:r>
        <w:rPr>
          <w:rFonts w:hint="eastAsia" w:ascii="仿宋_GB2312" w:hAnsi="宋体" w:eastAsia="仿宋_GB2312" w:cs="Tahoma"/>
          <w:color w:val="000000"/>
          <w:sz w:val="32"/>
          <w:szCs w:val="32"/>
        </w:rPr>
        <w:t xml:space="preserve">    6.积极参加校、院及班级组织的各项活动；</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7.关心他人，尊敬老师，团结同学。积极参加社会活动、集体活动、各类志愿活动或向学校及有关部门提出合理化建议。</w:t>
      </w:r>
    </w:p>
    <w:p>
      <w:pPr>
        <w:spacing w:line="520" w:lineRule="exact"/>
        <w:ind w:firstLine="643" w:firstLineChars="200"/>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第六条</w:t>
      </w:r>
      <w:r>
        <w:rPr>
          <w:rFonts w:hint="eastAsia" w:ascii="仿宋_GB2312" w:hAnsi="宋体" w:eastAsia="仿宋_GB2312" w:cs="Tahoma"/>
          <w:color w:val="000000"/>
          <w:sz w:val="32"/>
          <w:szCs w:val="32"/>
        </w:rPr>
        <w:t xml:space="preserve">  有下列情行的酌情扣分（A</w:t>
      </w:r>
      <w:r>
        <w:rPr>
          <w:rFonts w:hint="eastAsia" w:ascii="仿宋_GB2312" w:hAnsi="宋体" w:eastAsia="仿宋_GB2312" w:cs="Tahoma"/>
          <w:color w:val="000000"/>
          <w:sz w:val="32"/>
          <w:szCs w:val="32"/>
          <w:vertAlign w:val="subscript"/>
        </w:rPr>
        <w:t>4</w:t>
      </w:r>
      <w:r>
        <w:rPr>
          <w:rFonts w:hint="eastAsia" w:ascii="仿宋_GB2312" w:hAnsi="宋体" w:eastAsia="仿宋_GB2312" w:cs="Tahoma"/>
          <w:color w:val="000000"/>
          <w:sz w:val="32"/>
          <w:szCs w:val="32"/>
        </w:rPr>
        <w:t>）</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1.不遵守教学秩序多次违反课堂纪律（如迟到、早退、旷课、影响教学等）扣1-5分；</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2.受培养单位通报批评者一次扣2分，受学校通报批评者一次扣4分；</w:t>
      </w:r>
    </w:p>
    <w:p>
      <w:pPr>
        <w:spacing w:line="520" w:lineRule="exact"/>
        <w:ind w:firstLine="640" w:firstLineChars="200"/>
        <w:rPr>
          <w:rFonts w:ascii="仿宋_GB2312" w:hAnsi="宋体" w:eastAsia="仿宋_GB2312" w:cs="Tahoma"/>
          <w:color w:val="993366"/>
          <w:sz w:val="32"/>
          <w:szCs w:val="32"/>
          <w:u w:val="single"/>
        </w:rPr>
      </w:pPr>
      <w:r>
        <w:rPr>
          <w:rFonts w:hint="eastAsia" w:ascii="仿宋_GB2312" w:hAnsi="宋体" w:eastAsia="仿宋_GB2312" w:cs="Tahoma"/>
          <w:color w:val="000000"/>
          <w:sz w:val="32"/>
          <w:szCs w:val="32"/>
        </w:rPr>
        <w:t>3.学校、培养单位组织且要求必须参加的活动，无故不参加的，每次扣1-5分；</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4.在学校或培养单位组织的寝室检查中，不配合或抵触的一次扣2分，造成不良影响的一次扣5分。检查中，不合格寝室的成员均扣1分，受通报批评的寝室，其成员一次扣2分。</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5.在突发、偶发和公共事件处理过程中，不听从组织安排，造成不良影响的一次扣6分；</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6.通过网络、微博、微信等渠道发布不实信息，给学校声誉造成影响的扣10分；</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7.其他各培养单位经公示无异议，报党委研究生工作部备案的扣分项目。</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因同一事由（件）被扣分者，以最高项记，不同事由（件）造成的扣分要累加。</w:t>
      </w:r>
    </w:p>
    <w:p>
      <w:pPr>
        <w:spacing w:line="52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 xml:space="preserve">    </w:t>
      </w:r>
    </w:p>
    <w:p>
      <w:pPr>
        <w:jc w:val="center"/>
        <w:rPr>
          <w:rFonts w:ascii="楷体_GB2312" w:hAnsi="仿宋" w:eastAsia="楷体_GB2312"/>
          <w:b/>
          <w:sz w:val="32"/>
          <w:szCs w:val="32"/>
        </w:rPr>
      </w:pPr>
      <w:r>
        <w:rPr>
          <w:rFonts w:hint="eastAsia" w:ascii="仿宋_GB2312" w:hAnsi="宋体" w:eastAsia="仿宋_GB2312" w:cs="Tahoma"/>
          <w:b/>
          <w:color w:val="000000"/>
          <w:sz w:val="32"/>
          <w:szCs w:val="32"/>
        </w:rPr>
        <w:t xml:space="preserve"> </w:t>
      </w:r>
      <w:r>
        <w:rPr>
          <w:rFonts w:hint="eastAsia" w:ascii="楷体_GB2312" w:hAnsi="仿宋" w:eastAsia="楷体_GB2312"/>
          <w:b/>
          <w:sz w:val="32"/>
          <w:szCs w:val="32"/>
        </w:rPr>
        <w:t>第四章</w:t>
      </w:r>
      <w:r>
        <w:rPr>
          <w:rFonts w:ascii="楷体_GB2312" w:hAnsi="仿宋" w:eastAsia="楷体_GB2312"/>
          <w:b/>
          <w:sz w:val="32"/>
          <w:szCs w:val="32"/>
        </w:rPr>
        <w:t xml:space="preserve"> </w:t>
      </w:r>
      <w:r>
        <w:rPr>
          <w:rFonts w:hint="eastAsia" w:ascii="楷体_GB2312" w:hAnsi="仿宋" w:eastAsia="楷体_GB2312"/>
          <w:b/>
          <w:sz w:val="32"/>
          <w:szCs w:val="32"/>
        </w:rPr>
        <w:t>课程综合测评分数</w:t>
      </w:r>
    </w:p>
    <w:p>
      <w:pPr>
        <w:spacing w:line="520" w:lineRule="exact"/>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 xml:space="preserve">    第七条</w:t>
      </w:r>
      <w:r>
        <w:rPr>
          <w:rFonts w:hint="eastAsia" w:ascii="仿宋_GB2312" w:hAnsi="宋体" w:eastAsia="仿宋_GB2312" w:cs="Tahoma"/>
          <w:color w:val="000000"/>
          <w:sz w:val="32"/>
          <w:szCs w:val="32"/>
        </w:rPr>
        <w:t xml:space="preserve"> 课程考核由研究生培养方案中学位课和非学位课程成绩组成，权重及计算方法如下：</w:t>
      </w:r>
    </w:p>
    <w:p>
      <w:pPr>
        <w:jc w:val="center"/>
        <w:rPr>
          <w:rFonts w:ascii="仿宋" w:hAnsi="仿宋" w:eastAsia="仿宋"/>
          <w:sz w:val="32"/>
          <w:szCs w:val="32"/>
        </w:rPr>
      </w:pPr>
      <m:oMathPara>
        <m:oMath>
          <m:r>
            <m:rPr>
              <m:sty m:val="p"/>
            </m:rPr>
            <w:rPr>
              <w:rFonts w:ascii="Cambria Math" w:hAnsi="Cambria Math" w:eastAsia="仿宋"/>
              <w:sz w:val="32"/>
              <w:szCs w:val="32"/>
            </w:rPr>
            <m:t>B=0.8</m:t>
          </m:r>
          <m:f>
            <m:fPr>
              <m:ctrlPr>
                <w:rPr>
                  <w:rFonts w:ascii="Cambria Math" w:hAnsi="Cambria Math" w:eastAsia="仿宋"/>
                  <w:sz w:val="32"/>
                  <w:szCs w:val="32"/>
                </w:rPr>
              </m:ctrlPr>
            </m:fPr>
            <m:num>
              <m:nary>
                <m:naryPr>
                  <m:chr m:val="∑"/>
                  <m:limLoc m:val="undOvr"/>
                  <m:subHide m:val="1"/>
                  <m:supHide m:val="1"/>
                  <m:ctrlPr>
                    <w:rPr>
                      <w:rFonts w:ascii="Cambria Math" w:hAnsi="Cambria Math" w:eastAsia="仿宋"/>
                      <w:i/>
                      <w:sz w:val="32"/>
                      <w:szCs w:val="32"/>
                    </w:rPr>
                  </m:ctrlPr>
                </m:naryPr>
                <m:sub>
                  <m:ctrlPr>
                    <w:rPr>
                      <w:rFonts w:ascii="Cambria Math" w:hAnsi="Cambria Math" w:eastAsia="仿宋"/>
                      <w:i/>
                      <w:sz w:val="32"/>
                      <w:szCs w:val="32"/>
                    </w:rPr>
                  </m:ctrlPr>
                </m:sub>
                <m:sup>
                  <m:ctrlPr>
                    <w:rPr>
                      <w:rFonts w:ascii="Cambria Math" w:hAnsi="Cambria Math" w:eastAsia="仿宋"/>
                      <w:i/>
                      <w:sz w:val="32"/>
                      <w:szCs w:val="32"/>
                    </w:rPr>
                  </m:ctrlPr>
                </m:sup>
                <m:e>
                  <m:r>
                    <m:rPr>
                      <m:sty m:val="p"/>
                    </m:rPr>
                    <w:rPr>
                      <w:rFonts w:hint="eastAsia" w:ascii="Cambria Math" w:hAnsi="Cambria Math" w:eastAsia="仿宋_GB2312" w:cs="Tahoma"/>
                      <w:color w:val="000000"/>
                      <w:sz w:val="32"/>
                      <w:szCs w:val="32"/>
                    </w:rPr>
                    <w:object>
                      <v:shape id="_x0000_i1025" o:spt="75" type="#_x0000_t75" style="height:18.75pt;width:12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m:r>
                  <m:r>
                    <m:rPr>
                      <m:sty m:val="p"/>
                    </m:rPr>
                    <w:rPr>
                      <w:rFonts w:ascii="Cambria Math" w:hAnsi="Cambria Math" w:eastAsia="仿宋"/>
                      <w:sz w:val="32"/>
                      <w:szCs w:val="32"/>
                    </w:rPr>
                    <m:t>*</m:t>
                  </m:r>
                  <m:r>
                    <m:rPr>
                      <m:sty m:val="p"/>
                    </m:rPr>
                    <w:rPr>
                      <w:rFonts w:hint="eastAsia" w:ascii="Cambria Math" w:hAnsi="Cambria Math" w:eastAsia="仿宋_GB2312" w:cs="Tahoma"/>
                      <w:color w:val="000000"/>
                      <w:sz w:val="32"/>
                      <w:szCs w:val="32"/>
                    </w:rPr>
                    <w:object>
                      <v:shape id="_x0000_i1026" o:spt="75" type="#_x0000_t75" style="height:18.75pt;width:1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m:r>
                  <m:ctrlPr>
                    <w:rPr>
                      <w:rFonts w:ascii="Cambria Math" w:hAnsi="Cambria Math" w:eastAsia="仿宋"/>
                      <w:i/>
                      <w:sz w:val="32"/>
                      <w:szCs w:val="32"/>
                    </w:rPr>
                  </m:ctrlPr>
                </m:e>
              </m:nary>
              <m:ctrlPr>
                <w:rPr>
                  <w:rFonts w:ascii="Cambria Math" w:hAnsi="Cambria Math" w:eastAsia="仿宋"/>
                  <w:sz w:val="32"/>
                  <w:szCs w:val="32"/>
                </w:rPr>
              </m:ctrlPr>
            </m:num>
            <m:den>
              <m:nary>
                <m:naryPr>
                  <m:chr m:val="∑"/>
                  <m:limLoc m:val="undOvr"/>
                  <m:subHide m:val="1"/>
                  <m:supHide m:val="1"/>
                  <m:ctrlPr>
                    <w:rPr>
                      <w:rFonts w:ascii="Cambria Math" w:hAnsi="Cambria Math" w:eastAsia="仿宋"/>
                      <w:i/>
                      <w:sz w:val="32"/>
                      <w:szCs w:val="32"/>
                    </w:rPr>
                  </m:ctrlPr>
                </m:naryPr>
                <m:sub>
                  <m:ctrlPr>
                    <w:rPr>
                      <w:rFonts w:ascii="Cambria Math" w:hAnsi="Cambria Math" w:eastAsia="仿宋"/>
                      <w:i/>
                      <w:sz w:val="32"/>
                      <w:szCs w:val="32"/>
                    </w:rPr>
                  </m:ctrlPr>
                </m:sub>
                <m:sup>
                  <m:ctrlPr>
                    <w:rPr>
                      <w:rFonts w:ascii="Cambria Math" w:hAnsi="Cambria Math" w:eastAsia="仿宋"/>
                      <w:i/>
                      <w:sz w:val="32"/>
                      <w:szCs w:val="32"/>
                    </w:rPr>
                  </m:ctrlPr>
                </m:sup>
                <m:e>
                  <m:r>
                    <m:rPr>
                      <m:sty m:val="p"/>
                    </m:rPr>
                    <w:rPr>
                      <w:rFonts w:hint="eastAsia" w:ascii="Cambria Math" w:hAnsi="Cambria Math" w:eastAsia="仿宋_GB2312" w:cs="Tahoma"/>
                      <w:color w:val="000000"/>
                      <w:sz w:val="32"/>
                      <w:szCs w:val="32"/>
                    </w:rPr>
                    <w:object>
                      <v:shape id="_x0000_i1027" o:spt="75" type="#_x0000_t75" style="height:18.75pt;width:1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11">
                        <o:LockedField>false</o:LockedField>
                      </o:OLEObject>
                    </w:object>
                  </m:r>
                  <m:ctrlPr>
                    <w:rPr>
                      <w:rFonts w:ascii="Cambria Math" w:hAnsi="Cambria Math" w:eastAsia="仿宋"/>
                      <w:i/>
                      <w:sz w:val="32"/>
                      <w:szCs w:val="32"/>
                    </w:rPr>
                  </m:ctrlPr>
                </m:e>
              </m:nary>
              <m:ctrlPr>
                <w:rPr>
                  <w:rFonts w:ascii="Cambria Math" w:hAnsi="Cambria Math" w:eastAsia="仿宋"/>
                  <w:sz w:val="32"/>
                  <w:szCs w:val="32"/>
                </w:rPr>
              </m:ctrlPr>
            </m:den>
          </m:f>
          <m:r>
            <w:rPr>
              <w:rFonts w:ascii="Cambria Math" w:hAnsi="Cambria Math" w:eastAsia="仿宋"/>
              <w:sz w:val="32"/>
              <w:szCs w:val="32"/>
            </w:rPr>
            <m:t>+0.2</m:t>
          </m:r>
          <m:f>
            <m:fPr>
              <m:ctrlPr>
                <w:rPr>
                  <w:rFonts w:ascii="Cambria Math" w:hAnsi="Cambria Math" w:eastAsia="仿宋"/>
                  <w:i/>
                  <w:sz w:val="32"/>
                  <w:szCs w:val="32"/>
                </w:rPr>
              </m:ctrlPr>
            </m:fPr>
            <m:num>
              <m:nary>
                <m:naryPr>
                  <m:chr m:val="∑"/>
                  <m:limLoc m:val="undOvr"/>
                  <m:subHide m:val="1"/>
                  <m:supHide m:val="1"/>
                  <m:ctrlPr>
                    <w:rPr>
                      <w:rFonts w:ascii="Cambria Math" w:hAnsi="Cambria Math" w:eastAsia="仿宋"/>
                      <w:i/>
                      <w:sz w:val="32"/>
                      <w:szCs w:val="32"/>
                    </w:rPr>
                  </m:ctrlPr>
                </m:naryPr>
                <m:sub>
                  <m:ctrlPr>
                    <w:rPr>
                      <w:rFonts w:ascii="Cambria Math" w:hAnsi="Cambria Math" w:eastAsia="仿宋"/>
                      <w:i/>
                      <w:sz w:val="32"/>
                      <w:szCs w:val="32"/>
                    </w:rPr>
                  </m:ctrlPr>
                </m:sub>
                <m:sup>
                  <m:ctrlPr>
                    <w:rPr>
                      <w:rFonts w:ascii="Cambria Math" w:hAnsi="Cambria Math" w:eastAsia="仿宋"/>
                      <w:i/>
                      <w:sz w:val="32"/>
                      <w:szCs w:val="32"/>
                    </w:rPr>
                  </m:ctrlPr>
                </m:sup>
                <m:e>
                  <m:r>
                    <m:rPr>
                      <m:sty m:val="p"/>
                    </m:rPr>
                    <w:rPr>
                      <w:rFonts w:hint="eastAsia" w:ascii="Cambria Math" w:hAnsi="Cambria Math" w:eastAsia="仿宋_GB2312" w:cs="Tahoma"/>
                      <w:color w:val="000000"/>
                      <w:sz w:val="32"/>
                      <w:szCs w:val="32"/>
                    </w:rPr>
                    <w:object>
                      <v:shape id="_x0000_i1028" o:spt="75" type="#_x0000_t75" style="height:18.75pt;width:14.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m:r>
                  <m:r>
                    <w:rPr>
                      <w:rFonts w:ascii="Cambria Math" w:hAnsi="Cambria Math" w:eastAsia="仿宋"/>
                      <w:sz w:val="32"/>
                      <w:szCs w:val="32"/>
                    </w:rPr>
                    <m:t>*</m:t>
                  </m:r>
                  <m:r>
                    <m:rPr>
                      <m:sty m:val="p"/>
                    </m:rPr>
                    <w:rPr>
                      <w:rFonts w:hint="eastAsia" w:ascii="Cambria Math" w:hAnsi="Cambria Math" w:eastAsia="仿宋_GB2312" w:cs="Tahoma"/>
                      <w:color w:val="000000"/>
                      <w:sz w:val="32"/>
                      <w:szCs w:val="32"/>
                    </w:rPr>
                    <w:object>
                      <v:shape id="_x0000_i1029" o:spt="75" type="#_x0000_t75" style="height:18.75pt;width:18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m:r>
                  <m:ctrlPr>
                    <w:rPr>
                      <w:rFonts w:ascii="Cambria Math" w:hAnsi="Cambria Math" w:eastAsia="仿宋"/>
                      <w:i/>
                      <w:sz w:val="32"/>
                      <w:szCs w:val="32"/>
                    </w:rPr>
                  </m:ctrlPr>
                </m:e>
              </m:nary>
              <m:ctrlPr>
                <w:rPr>
                  <w:rFonts w:ascii="Cambria Math" w:hAnsi="Cambria Math" w:eastAsia="仿宋"/>
                  <w:i/>
                  <w:sz w:val="32"/>
                  <w:szCs w:val="32"/>
                </w:rPr>
              </m:ctrlPr>
            </m:num>
            <m:den>
              <m:r>
                <m:rPr>
                  <m:sty m:val="p"/>
                </m:rPr>
                <w:rPr>
                  <w:rFonts w:hint="eastAsia" w:ascii="Cambria Math" w:hAnsi="Cambria Math" w:eastAsia="仿宋_GB2312" w:cs="Tahoma"/>
                  <w:color w:val="000000"/>
                  <w:sz w:val="32"/>
                  <w:szCs w:val="32"/>
                </w:rPr>
                <w:object>
                  <v:shape id="_x0000_i1030" o:spt="75" type="#_x0000_t75" style="height:18.75pt;width:18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6">
                    <o:LockedField>false</o:LockedField>
                  </o:OLEObject>
                </w:object>
              </m:r>
              <m:ctrlPr>
                <w:rPr>
                  <w:rFonts w:ascii="Cambria Math" w:hAnsi="Cambria Math" w:eastAsia="仿宋"/>
                  <w:i/>
                  <w:sz w:val="32"/>
                  <w:szCs w:val="32"/>
                </w:rPr>
              </m:ctrlPr>
            </m:den>
          </m:f>
        </m:oMath>
      </m:oMathPara>
    </w:p>
    <w:p>
      <w:pPr>
        <w:spacing w:line="520" w:lineRule="exact"/>
        <w:rPr>
          <w:rFonts w:ascii="仿宋_GB2312" w:hAnsi="宋体" w:eastAsia="仿宋_GB2312" w:cs="Tahoma"/>
          <w:color w:val="000000"/>
          <w:sz w:val="32"/>
          <w:szCs w:val="32"/>
        </w:rPr>
      </w:pPr>
      <w:r>
        <w:rPr>
          <w:rFonts w:hint="eastAsia" w:ascii="仿宋_GB2312" w:hAnsi="宋体" w:eastAsia="仿宋_GB2312" w:cs="Tahoma"/>
          <w:color w:val="000000"/>
          <w:sz w:val="32"/>
          <w:szCs w:val="32"/>
        </w:rPr>
        <w:t>其中，B为课程考核分数，</w:t>
      </w:r>
      <w:r>
        <w:rPr>
          <w:rFonts w:hint="eastAsia" w:ascii="仿宋_GB2312" w:hAnsi="宋体" w:eastAsia="仿宋_GB2312" w:cs="Tahoma"/>
          <w:color w:val="000000"/>
          <w:sz w:val="32"/>
          <w:szCs w:val="32"/>
        </w:rPr>
        <w:object>
          <v:shape id="_x0000_i1031" o:spt="75" type="#_x0000_t75" style="height:18.75pt;width:12pt;" o:ole="t" filled="f" o:preferrelative="t" stroked="f" coordsize="21600,21600">
            <v:path/>
            <v:fill on="f" focussize="0,0"/>
            <v:stroke on="f" joinstyle="miter"/>
            <v:imagedata r:id="rId8" o:title=""/>
            <o:lock v:ext="edit" aspectratio="t"/>
            <w10:wrap type="none"/>
            <w10:anchorlock/>
          </v:shape>
          <o:OLEObject Type="Embed" ProgID="Equation.DSMT4" ShapeID="_x0000_i1031" DrawAspect="Content" ObjectID="_1468075731" r:id="rId17">
            <o:LockedField>false</o:LockedField>
          </o:OLEObject>
        </w:object>
      </w:r>
      <w:r>
        <w:rPr>
          <w:rFonts w:hint="eastAsia" w:ascii="仿宋_GB2312" w:hAnsi="宋体" w:eastAsia="仿宋_GB2312" w:cs="Tahoma"/>
          <w:color w:val="000000"/>
          <w:sz w:val="32"/>
          <w:szCs w:val="32"/>
        </w:rPr>
        <w:t>为学位课（含必修课）成绩，</w:t>
      </w:r>
      <w:r>
        <w:rPr>
          <w:rFonts w:hint="eastAsia" w:ascii="仿宋_GB2312" w:hAnsi="宋体" w:eastAsia="仿宋_GB2312" w:cs="Tahoma"/>
          <w:color w:val="000000"/>
          <w:sz w:val="32"/>
          <w:szCs w:val="32"/>
        </w:rPr>
        <w:object>
          <v:shape id="_x0000_i1032" o:spt="75" type="#_x0000_t75" style="height:18.75pt;width:15pt;" o:ole="t" filled="f" o:preferrelative="t" stroked="f" coordsize="21600,21600">
            <v:path/>
            <v:fill on="f" focussize="0,0"/>
            <v:stroke on="f" joinstyle="miter"/>
            <v:imagedata r:id="rId10" o:title=""/>
            <o:lock v:ext="edit" aspectratio="t"/>
            <w10:wrap type="none"/>
            <w10:anchorlock/>
          </v:shape>
          <o:OLEObject Type="Embed" ProgID="Equation.DSMT4" ShapeID="_x0000_i1032" DrawAspect="Content" ObjectID="_1468075732" r:id="rId18">
            <o:LockedField>false</o:LockedField>
          </o:OLEObject>
        </w:object>
      </w:r>
      <w:r>
        <w:rPr>
          <w:rFonts w:hint="eastAsia" w:ascii="仿宋_GB2312" w:hAnsi="宋体" w:eastAsia="仿宋_GB2312" w:cs="Tahoma"/>
          <w:color w:val="000000"/>
          <w:sz w:val="32"/>
          <w:szCs w:val="32"/>
        </w:rPr>
        <w:t>为对应的课程学分，</w:t>
      </w:r>
      <w:r>
        <w:rPr>
          <w:rFonts w:hint="eastAsia" w:ascii="仿宋_GB2312" w:hAnsi="宋体" w:eastAsia="仿宋_GB2312" w:cs="Tahoma"/>
          <w:color w:val="000000"/>
          <w:sz w:val="32"/>
          <w:szCs w:val="32"/>
        </w:rPr>
        <w:object>
          <v:shape id="_x0000_i1033" o:spt="75" type="#_x0000_t75" style="height:18.75pt;width:14.25pt;" o:ole="t" filled="f" o:preferrelative="t" stroked="f" coordsize="21600,21600">
            <v:path/>
            <v:fill on="f" focussize="0,0"/>
            <v:stroke on="f" joinstyle="miter"/>
            <v:imagedata r:id="rId13" o:title=""/>
            <o:lock v:ext="edit" aspectratio="t"/>
            <w10:wrap type="none"/>
            <w10:anchorlock/>
          </v:shape>
          <o:OLEObject Type="Embed" ProgID="Equation.DSMT4" ShapeID="_x0000_i1033" DrawAspect="Content" ObjectID="_1468075733" r:id="rId19">
            <o:LockedField>false</o:LockedField>
          </o:OLEObject>
        </w:object>
      </w:r>
      <w:r>
        <w:rPr>
          <w:rFonts w:hint="eastAsia" w:ascii="仿宋_GB2312" w:hAnsi="宋体" w:eastAsia="仿宋_GB2312" w:cs="Tahoma"/>
          <w:color w:val="000000"/>
          <w:sz w:val="32"/>
          <w:szCs w:val="32"/>
        </w:rPr>
        <w:t>为非学位课成绩，</w:t>
      </w:r>
      <w:r>
        <w:rPr>
          <w:rFonts w:hint="eastAsia" w:ascii="仿宋_GB2312" w:hAnsi="宋体" w:eastAsia="仿宋_GB2312" w:cs="Tahoma"/>
          <w:color w:val="000000"/>
          <w:sz w:val="32"/>
          <w:szCs w:val="32"/>
        </w:rPr>
        <w:object>
          <v:shape id="_x0000_i1034" o:spt="75" type="#_x0000_t75" style="height:18.75pt;width:18pt;" o:ole="t" filled="f" o:preferrelative="t" stroked="f" coordsize="21600,21600">
            <v:path/>
            <v:fill on="f" focussize="0,0"/>
            <v:stroke on="f" joinstyle="miter"/>
            <v:imagedata r:id="rId15" o:title=""/>
            <o:lock v:ext="edit" aspectratio="t"/>
            <w10:wrap type="none"/>
            <w10:anchorlock/>
          </v:shape>
          <o:OLEObject Type="Embed" ProgID="Equation.DSMT4" ShapeID="_x0000_i1034" DrawAspect="Content" ObjectID="_1468075734" r:id="rId20">
            <o:LockedField>false</o:LockedField>
          </o:OLEObject>
        </w:object>
      </w:r>
      <w:r>
        <w:rPr>
          <w:rFonts w:hint="eastAsia" w:ascii="仿宋_GB2312" w:hAnsi="宋体" w:eastAsia="仿宋_GB2312" w:cs="Tahoma"/>
          <w:color w:val="000000"/>
          <w:sz w:val="32"/>
          <w:szCs w:val="32"/>
        </w:rPr>
        <w:t>为对应的课程学分。成绩按百分制计算。</w:t>
      </w:r>
    </w:p>
    <w:p>
      <w:pPr>
        <w:spacing w:line="520" w:lineRule="exact"/>
        <w:rPr>
          <w:rFonts w:ascii="仿宋_GB2312" w:hAnsi="宋体" w:eastAsia="仿宋_GB2312" w:cs="Tahoma"/>
          <w:color w:val="000000"/>
          <w:sz w:val="32"/>
          <w:szCs w:val="32"/>
        </w:rPr>
      </w:pPr>
    </w:p>
    <w:p>
      <w:pPr>
        <w:jc w:val="center"/>
        <w:rPr>
          <w:rFonts w:ascii="楷体_GB2312" w:hAnsi="仿宋" w:eastAsia="楷体_GB2312"/>
          <w:b/>
          <w:sz w:val="32"/>
          <w:szCs w:val="32"/>
        </w:rPr>
      </w:pPr>
      <w:r>
        <w:rPr>
          <w:rFonts w:hint="eastAsia" w:ascii="仿宋_GB2312" w:hAnsi="宋体" w:eastAsia="仿宋_GB2312" w:cs="Tahoma"/>
          <w:color w:val="000000"/>
          <w:sz w:val="32"/>
          <w:szCs w:val="32"/>
        </w:rPr>
        <w:t xml:space="preserve">  </w:t>
      </w:r>
      <w:r>
        <w:rPr>
          <w:rFonts w:hint="eastAsia" w:ascii="楷体_GB2312" w:hAnsi="仿宋" w:eastAsia="楷体_GB2312"/>
          <w:b/>
          <w:sz w:val="32"/>
          <w:szCs w:val="32"/>
        </w:rPr>
        <w:t>第五章 科研（学术）成果认定标准</w:t>
      </w:r>
    </w:p>
    <w:p>
      <w:pPr>
        <w:spacing w:line="520" w:lineRule="exact"/>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 xml:space="preserve">    第八条 </w:t>
      </w:r>
      <w:r>
        <w:rPr>
          <w:rFonts w:hint="eastAsia" w:ascii="仿宋_GB2312" w:hAnsi="宋体" w:eastAsia="仿宋_GB2312" w:cs="Tahoma"/>
          <w:color w:val="000000"/>
          <w:sz w:val="32"/>
          <w:szCs w:val="32"/>
        </w:rPr>
        <w:t xml:space="preserve"> 科研（学术）成果的认定要求：</w:t>
      </w:r>
    </w:p>
    <w:p>
      <w:pPr>
        <w:spacing w:line="520" w:lineRule="exact"/>
        <w:rPr>
          <w:rFonts w:ascii="仿宋_GB2312" w:hAnsi="宋体" w:eastAsia="仿宋_GB2312" w:cs="Tahoma"/>
          <w:color w:val="000000"/>
          <w:sz w:val="32"/>
          <w:szCs w:val="32"/>
        </w:rPr>
      </w:pPr>
      <w:r>
        <w:rPr>
          <w:rFonts w:hint="eastAsia" w:ascii="仿宋_GB2312" w:hAnsi="宋体" w:eastAsia="仿宋_GB2312" w:cs="Tahoma"/>
          <w:color w:val="000000"/>
          <w:sz w:val="32"/>
          <w:szCs w:val="32"/>
        </w:rPr>
        <w:t xml:space="preserve">    1.所有成果第一完成单位须为贵州大学，参评者须为第一作者，导师是第一作者，学生为第二作者的视为第一作者；</w:t>
      </w:r>
    </w:p>
    <w:p>
      <w:pPr>
        <w:spacing w:line="520" w:lineRule="exact"/>
        <w:rPr>
          <w:rFonts w:ascii="仿宋_GB2312" w:hAnsi="宋体" w:eastAsia="仿宋_GB2312" w:cs="Tahoma"/>
          <w:color w:val="000000"/>
          <w:sz w:val="32"/>
          <w:szCs w:val="32"/>
        </w:rPr>
      </w:pPr>
      <w:r>
        <w:rPr>
          <w:rFonts w:hint="eastAsia" w:ascii="仿宋_GB2312" w:hAnsi="宋体" w:eastAsia="仿宋_GB2312" w:cs="Tahoma"/>
          <w:color w:val="000000"/>
          <w:sz w:val="32"/>
          <w:szCs w:val="32"/>
        </w:rPr>
        <w:t xml:space="preserve">    2.成果须是在读研期间完成；</w:t>
      </w:r>
    </w:p>
    <w:p>
      <w:pPr>
        <w:spacing w:line="520" w:lineRule="exact"/>
        <w:rPr>
          <w:rFonts w:ascii="仿宋_GB2312" w:hAnsi="宋体" w:eastAsia="仿宋_GB2312" w:cs="Tahoma"/>
          <w:color w:val="000000"/>
          <w:sz w:val="32"/>
          <w:szCs w:val="32"/>
        </w:rPr>
      </w:pPr>
      <w:r>
        <w:rPr>
          <w:rFonts w:hint="eastAsia" w:ascii="仿宋_GB2312" w:hAnsi="宋体" w:eastAsia="仿宋_GB2312" w:cs="Tahoma"/>
          <w:color w:val="000000"/>
          <w:sz w:val="32"/>
          <w:szCs w:val="32"/>
        </w:rPr>
        <w:t xml:space="preserve">    3.所有成果在各类奖学金评定中不能重复使用。</w:t>
      </w:r>
    </w:p>
    <w:p>
      <w:pPr>
        <w:spacing w:line="520" w:lineRule="exact"/>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 xml:space="preserve">    第九条</w:t>
      </w:r>
      <w:r>
        <w:rPr>
          <w:rFonts w:hint="eastAsia" w:ascii="仿宋_GB2312" w:hAnsi="宋体" w:eastAsia="仿宋_GB2312" w:cs="Tahoma"/>
          <w:color w:val="000000"/>
          <w:sz w:val="32"/>
          <w:szCs w:val="32"/>
        </w:rPr>
        <w:t xml:space="preserve">  SCI文章分区认定依据以加盖贵州大学图书馆公章的检索报告为准。</w:t>
      </w:r>
    </w:p>
    <w:p>
      <w:pPr>
        <w:spacing w:line="520" w:lineRule="exact"/>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 xml:space="preserve">    第十条  </w:t>
      </w:r>
      <w:r>
        <w:rPr>
          <w:rFonts w:hint="eastAsia" w:ascii="仿宋_GB2312" w:hAnsi="宋体" w:eastAsia="仿宋_GB2312" w:cs="Tahoma"/>
          <w:color w:val="000000"/>
          <w:sz w:val="32"/>
          <w:szCs w:val="32"/>
        </w:rPr>
        <w:t xml:space="preserve">中文核心的判定依据为中国知网（CNKI）“期刊大全” 中“核心期刊导航”为准，增刊不列入核心期刊。 </w:t>
      </w:r>
    </w:p>
    <w:p>
      <w:pPr>
        <w:spacing w:line="520" w:lineRule="exact"/>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 xml:space="preserve">    第十一条</w:t>
      </w:r>
      <w:r>
        <w:rPr>
          <w:rFonts w:hint="eastAsia" w:ascii="仿宋_GB2312" w:hAnsi="宋体" w:eastAsia="仿宋_GB2312" w:cs="Tahoma"/>
          <w:color w:val="000000"/>
          <w:sz w:val="32"/>
          <w:szCs w:val="32"/>
        </w:rPr>
        <w:t xml:space="preserve">  中国“互联网+”大学生创新创业大赛、“挑战杯”全国大学生课外学术科技作品竞赛、“挑战杯”中国大学生创业计划大赛、“外研社杯”全国英语演讲大赛、全国研究生数学建模竞赛、全国研究生电子设计竞赛等，具有较大影响力的竞赛获奖，视为国家级奖项，其对应的省级（地区）竞赛视为省部级。</w:t>
      </w:r>
    </w:p>
    <w:p>
      <w:pPr>
        <w:spacing w:line="520" w:lineRule="exact"/>
        <w:rPr>
          <w:rFonts w:ascii="仿宋_GB2312" w:hAnsi="宋体" w:eastAsia="仿宋_GB2312" w:cs="Tahoma"/>
          <w:b/>
          <w:color w:val="000000"/>
          <w:sz w:val="32"/>
          <w:szCs w:val="32"/>
        </w:rPr>
      </w:pPr>
    </w:p>
    <w:p>
      <w:pPr>
        <w:jc w:val="center"/>
        <w:rPr>
          <w:rFonts w:ascii="楷体_GB2312" w:hAnsi="仿宋" w:eastAsia="楷体_GB2312"/>
          <w:b/>
          <w:sz w:val="32"/>
          <w:szCs w:val="32"/>
        </w:rPr>
      </w:pPr>
      <w:r>
        <w:rPr>
          <w:rFonts w:hint="eastAsia" w:ascii="仿宋_GB2312" w:hAnsi="宋体" w:eastAsia="仿宋_GB2312" w:cs="Tahoma"/>
          <w:b/>
          <w:color w:val="000000"/>
          <w:sz w:val="32"/>
          <w:szCs w:val="32"/>
        </w:rPr>
        <w:t xml:space="preserve"> </w:t>
      </w:r>
      <w:r>
        <w:rPr>
          <w:rFonts w:hint="eastAsia" w:ascii="楷体_GB2312" w:hAnsi="仿宋" w:eastAsia="楷体_GB2312"/>
          <w:b/>
          <w:sz w:val="32"/>
          <w:szCs w:val="32"/>
        </w:rPr>
        <w:t>第六章  其  它</w:t>
      </w:r>
    </w:p>
    <w:p>
      <w:pPr>
        <w:spacing w:line="520" w:lineRule="exact"/>
        <w:ind w:firstLine="705"/>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第十二条</w:t>
      </w:r>
      <w:r>
        <w:rPr>
          <w:rFonts w:hint="eastAsia" w:ascii="仿宋_GB2312" w:hAnsi="宋体" w:eastAsia="仿宋_GB2312" w:cs="Tahoma"/>
          <w:color w:val="000000"/>
          <w:sz w:val="32"/>
          <w:szCs w:val="32"/>
        </w:rPr>
        <w:t xml:space="preserve">  根据上述计分项目，各培养单位可结合本单位具体实际和学科特点，如学生参加有影响力的竞赛、课程性质、期刊分类、发明专利、体育竞赛、合作项目（成果）计分、其他成果认定等，由各培养单位组织专家制定计分标准和原则，公示无异议后报研究生院、党委研究生工作部（研究生管理处）备案。</w:t>
      </w:r>
    </w:p>
    <w:p>
      <w:pPr>
        <w:spacing w:line="520" w:lineRule="exact"/>
        <w:ind w:firstLine="705"/>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第十三条</w:t>
      </w:r>
      <w:r>
        <w:rPr>
          <w:rFonts w:hint="eastAsia" w:ascii="仿宋_GB2312" w:hAnsi="宋体" w:eastAsia="仿宋_GB2312" w:cs="Tahoma"/>
          <w:color w:val="000000"/>
          <w:sz w:val="32"/>
          <w:szCs w:val="32"/>
        </w:rPr>
        <w:t xml:space="preserve">  各培养单位在制定计分细则时，各项计分标准，可参考贵州大学人事处关于岗位聘用中的积分标准制定。</w:t>
      </w:r>
    </w:p>
    <w:p>
      <w:pPr>
        <w:spacing w:line="520" w:lineRule="exact"/>
        <w:ind w:firstLine="643" w:firstLineChars="200"/>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第十四条</w:t>
      </w:r>
      <w:r>
        <w:rPr>
          <w:rFonts w:hint="eastAsia" w:ascii="仿宋_GB2312" w:hAnsi="宋体" w:eastAsia="仿宋_GB2312" w:cs="Tahoma"/>
          <w:color w:val="000000"/>
          <w:sz w:val="32"/>
          <w:szCs w:val="32"/>
        </w:rPr>
        <w:t xml:space="preserve">  百分制成绩转化公式：</w:t>
      </w:r>
    </w:p>
    <w:p>
      <w:pPr>
        <w:rPr>
          <w:rFonts w:ascii="Cambria Math" w:hAnsi="Cambria Math" w:eastAsia="仿宋_GB2312" w:cs="Tahoma"/>
          <w:color w:val="000000"/>
          <w:sz w:val="32"/>
          <w:szCs w:val="32"/>
        </w:rPr>
      </w:pPr>
      <w:r>
        <w:rPr>
          <w:rFonts w:hint="eastAsia" w:ascii="Cambria Math" w:hAnsi="Cambria Math" w:eastAsia="仿宋_GB2312" w:cs="Tahoma"/>
          <w:color w:val="000000"/>
          <w:sz w:val="32"/>
          <w:szCs w:val="32"/>
        </w:rPr>
        <w:t xml:space="preserve">    成绩</w:t>
      </w:r>
      <m:oMath>
        <m:r>
          <m:rPr>
            <m:sty m:val="p"/>
          </m:rPr>
          <w:rPr>
            <w:rFonts w:ascii="Cambria Math" w:hAnsi="Cambria Math" w:eastAsia="仿宋_GB2312" w:cs="Tahoma"/>
            <w:color w:val="000000"/>
            <w:sz w:val="32"/>
            <w:szCs w:val="32"/>
          </w:rPr>
          <m:t>=</m:t>
        </m:r>
        <m:f>
          <m:fPr>
            <m:ctrlPr>
              <w:rPr>
                <w:rFonts w:ascii="Cambria Math" w:hAnsi="Cambria Math" w:eastAsia="仿宋_GB2312" w:cs="Tahoma"/>
                <w:color w:val="000000"/>
                <w:sz w:val="32"/>
                <w:szCs w:val="32"/>
              </w:rPr>
            </m:ctrlPr>
          </m:fPr>
          <m:num>
            <m:r>
              <m:rPr>
                <m:sty m:val="p"/>
              </m:rPr>
              <w:rPr>
                <w:rFonts w:ascii="Cambria Math" w:hAnsi="Cambria Math" w:eastAsia="仿宋_GB2312" w:cs="Tahoma"/>
                <w:color w:val="000000"/>
                <w:sz w:val="32"/>
                <w:szCs w:val="32"/>
              </w:rPr>
              <m:t>参评成绩</m:t>
            </m:r>
            <m:ctrlPr>
              <w:rPr>
                <w:rFonts w:ascii="Cambria Math" w:hAnsi="Cambria Math" w:eastAsia="仿宋_GB2312" w:cs="Tahoma"/>
                <w:color w:val="000000"/>
                <w:sz w:val="32"/>
                <w:szCs w:val="32"/>
              </w:rPr>
            </m:ctrlPr>
          </m:num>
          <m:den>
            <m:r>
              <m:rPr>
                <m:sty m:val="p"/>
              </m:rPr>
              <w:rPr>
                <w:rFonts w:ascii="Cambria Math" w:hAnsi="Cambria Math" w:eastAsia="仿宋_GB2312" w:cs="Tahoma"/>
                <w:color w:val="000000"/>
                <w:sz w:val="32"/>
                <w:szCs w:val="32"/>
              </w:rPr>
              <m:t>参评成绩最大值</m:t>
            </m:r>
            <m:ctrlPr>
              <w:rPr>
                <w:rFonts w:ascii="Cambria Math" w:hAnsi="Cambria Math" w:eastAsia="仿宋_GB2312" w:cs="Tahoma"/>
                <w:color w:val="000000"/>
                <w:sz w:val="32"/>
                <w:szCs w:val="32"/>
              </w:rPr>
            </m:ctrlPr>
          </m:den>
        </m:f>
        <m:r>
          <m:rPr>
            <m:sty m:val="p"/>
          </m:rPr>
          <w:rPr>
            <w:rFonts w:ascii="Cambria Math" w:hAnsi="Cambria Math" w:eastAsia="仿宋_GB2312" w:cs="Tahoma"/>
            <w:color w:val="000000"/>
            <w:sz w:val="32"/>
            <w:szCs w:val="32"/>
          </w:rPr>
          <m:t>*100%*权重</m:t>
        </m:r>
      </m:oMath>
    </w:p>
    <w:p>
      <w:pPr>
        <w:spacing w:line="500" w:lineRule="exact"/>
        <w:rPr>
          <w:rFonts w:ascii="仿宋_GB2312" w:hAnsi="宋体" w:eastAsia="仿宋_GB2312" w:cs="Tahoma"/>
          <w:b/>
          <w:color w:val="000000"/>
          <w:sz w:val="32"/>
          <w:szCs w:val="32"/>
        </w:rPr>
      </w:pPr>
    </w:p>
    <w:p>
      <w:pPr>
        <w:jc w:val="center"/>
        <w:rPr>
          <w:rFonts w:ascii="楷体_GB2312" w:hAnsi="仿宋" w:eastAsia="楷体_GB2312"/>
          <w:b/>
          <w:sz w:val="32"/>
          <w:szCs w:val="32"/>
        </w:rPr>
      </w:pPr>
      <w:r>
        <w:rPr>
          <w:rFonts w:hint="eastAsia" w:ascii="仿宋_GB2312" w:hAnsi="宋体" w:eastAsia="仿宋_GB2312" w:cs="Tahoma"/>
          <w:b/>
          <w:color w:val="000000"/>
          <w:sz w:val="32"/>
          <w:szCs w:val="32"/>
        </w:rPr>
        <w:t xml:space="preserve"> </w:t>
      </w:r>
      <w:r>
        <w:rPr>
          <w:rFonts w:hint="eastAsia" w:ascii="楷体_GB2312" w:hAnsi="仿宋" w:eastAsia="楷体_GB2312"/>
          <w:b/>
          <w:sz w:val="32"/>
          <w:szCs w:val="32"/>
        </w:rPr>
        <w:t>第七章</w:t>
      </w:r>
      <w:r>
        <w:rPr>
          <w:rFonts w:ascii="楷体_GB2312" w:hAnsi="仿宋" w:eastAsia="楷体_GB2312"/>
          <w:b/>
          <w:sz w:val="32"/>
          <w:szCs w:val="32"/>
        </w:rPr>
        <w:t xml:space="preserve"> </w:t>
      </w:r>
      <w:r>
        <w:rPr>
          <w:rFonts w:hint="eastAsia" w:ascii="楷体_GB2312" w:hAnsi="仿宋" w:eastAsia="楷体_GB2312"/>
          <w:b/>
          <w:sz w:val="32"/>
          <w:szCs w:val="32"/>
        </w:rPr>
        <w:t xml:space="preserve"> 附  则</w:t>
      </w:r>
    </w:p>
    <w:p>
      <w:pPr>
        <w:spacing w:line="520" w:lineRule="exact"/>
        <w:rPr>
          <w:rFonts w:ascii="仿宋_GB2312" w:hAnsi="宋体" w:eastAsia="仿宋_GB2312" w:cs="Tahoma"/>
          <w:color w:val="000000"/>
          <w:sz w:val="32"/>
          <w:szCs w:val="32"/>
        </w:rPr>
      </w:pPr>
      <w:r>
        <w:rPr>
          <w:rFonts w:hint="eastAsia" w:ascii="仿宋_GB2312" w:hAnsi="宋体" w:eastAsia="仿宋_GB2312" w:cs="Tahoma"/>
          <w:b/>
          <w:color w:val="000000"/>
          <w:sz w:val="32"/>
          <w:szCs w:val="32"/>
        </w:rPr>
        <w:t xml:space="preserve">    第十五条</w:t>
      </w:r>
      <w:r>
        <w:rPr>
          <w:rFonts w:ascii="仿宋_GB2312" w:hAnsi="宋体" w:eastAsia="仿宋_GB2312" w:cs="Tahoma"/>
          <w:color w:val="000000"/>
          <w:sz w:val="32"/>
          <w:szCs w:val="32"/>
        </w:rPr>
        <w:t xml:space="preserve"> </w:t>
      </w:r>
      <w:r>
        <w:rPr>
          <w:rFonts w:hint="eastAsia" w:ascii="仿宋_GB2312" w:hAnsi="宋体" w:eastAsia="仿宋_GB2312" w:cs="Tahoma"/>
          <w:color w:val="000000"/>
          <w:sz w:val="32"/>
          <w:szCs w:val="32"/>
        </w:rPr>
        <w:t xml:space="preserve"> 本细则由研究生院、党委研究生工作部（研究生管理处）负责解释。</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9</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4CC5"/>
    <w:multiLevelType w:val="multilevel"/>
    <w:tmpl w:val="0A574CC5"/>
    <w:lvl w:ilvl="0" w:tentative="0">
      <w:start w:val="1"/>
      <w:numFmt w:val="japaneseCounting"/>
      <w:lvlText w:val="第%1章"/>
      <w:lvlJc w:val="left"/>
      <w:pPr>
        <w:ind w:left="4299" w:hanging="1180"/>
      </w:pPr>
      <w:rPr>
        <w:rFonts w:hint="eastAsia"/>
      </w:rPr>
    </w:lvl>
    <w:lvl w:ilvl="1" w:tentative="0">
      <w:start w:val="1"/>
      <w:numFmt w:val="lowerLetter"/>
      <w:lvlText w:val="%2)"/>
      <w:lvlJc w:val="left"/>
      <w:pPr>
        <w:ind w:left="4079" w:hanging="480"/>
      </w:pPr>
    </w:lvl>
    <w:lvl w:ilvl="2" w:tentative="0">
      <w:start w:val="1"/>
      <w:numFmt w:val="lowerRoman"/>
      <w:lvlText w:val="%3."/>
      <w:lvlJc w:val="right"/>
      <w:pPr>
        <w:ind w:left="4559" w:hanging="480"/>
      </w:pPr>
    </w:lvl>
    <w:lvl w:ilvl="3" w:tentative="0">
      <w:start w:val="1"/>
      <w:numFmt w:val="decimal"/>
      <w:lvlText w:val="%4."/>
      <w:lvlJc w:val="left"/>
      <w:pPr>
        <w:ind w:left="5039" w:hanging="480"/>
      </w:pPr>
    </w:lvl>
    <w:lvl w:ilvl="4" w:tentative="0">
      <w:start w:val="1"/>
      <w:numFmt w:val="lowerLetter"/>
      <w:lvlText w:val="%5)"/>
      <w:lvlJc w:val="left"/>
      <w:pPr>
        <w:ind w:left="5519" w:hanging="480"/>
      </w:pPr>
    </w:lvl>
    <w:lvl w:ilvl="5" w:tentative="0">
      <w:start w:val="1"/>
      <w:numFmt w:val="lowerRoman"/>
      <w:lvlText w:val="%6."/>
      <w:lvlJc w:val="right"/>
      <w:pPr>
        <w:ind w:left="5999" w:hanging="480"/>
      </w:pPr>
    </w:lvl>
    <w:lvl w:ilvl="6" w:tentative="0">
      <w:start w:val="1"/>
      <w:numFmt w:val="decimal"/>
      <w:lvlText w:val="%7."/>
      <w:lvlJc w:val="left"/>
      <w:pPr>
        <w:ind w:left="6479" w:hanging="480"/>
      </w:pPr>
    </w:lvl>
    <w:lvl w:ilvl="7" w:tentative="0">
      <w:start w:val="1"/>
      <w:numFmt w:val="lowerLetter"/>
      <w:lvlText w:val="%8)"/>
      <w:lvlJc w:val="left"/>
      <w:pPr>
        <w:ind w:left="6959" w:hanging="480"/>
      </w:pPr>
    </w:lvl>
    <w:lvl w:ilvl="8" w:tentative="0">
      <w:start w:val="1"/>
      <w:numFmt w:val="lowerRoman"/>
      <w:lvlText w:val="%9."/>
      <w:lvlJc w:val="right"/>
      <w:pPr>
        <w:ind w:left="74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7BDD"/>
    <w:rsid w:val="00083A01"/>
    <w:rsid w:val="00261D55"/>
    <w:rsid w:val="003E2354"/>
    <w:rsid w:val="005D10D5"/>
    <w:rsid w:val="00695691"/>
    <w:rsid w:val="006A3B4E"/>
    <w:rsid w:val="00755FBF"/>
    <w:rsid w:val="008E7E74"/>
    <w:rsid w:val="009B4D6C"/>
    <w:rsid w:val="009D1CC1"/>
    <w:rsid w:val="009D1F63"/>
    <w:rsid w:val="00A309AC"/>
    <w:rsid w:val="00A807BF"/>
    <w:rsid w:val="00B36922"/>
    <w:rsid w:val="00BE074E"/>
    <w:rsid w:val="00C27BDD"/>
    <w:rsid w:val="00C66D5E"/>
    <w:rsid w:val="00CF2CCA"/>
    <w:rsid w:val="00D94527"/>
    <w:rsid w:val="00DF668A"/>
    <w:rsid w:val="00E02C51"/>
    <w:rsid w:val="00E1342F"/>
    <w:rsid w:val="00E54C64"/>
    <w:rsid w:val="0EB21DEA"/>
    <w:rsid w:val="4172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8"/>
    <w:uiPriority w:val="0"/>
    <w:pPr>
      <w:widowControl/>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link w:val="3"/>
    <w:qFormat/>
    <w:uiPriority w:val="0"/>
    <w:rPr>
      <w:sz w:val="18"/>
      <w:szCs w:val="18"/>
    </w:rPr>
  </w:style>
  <w:style w:type="character" w:customStyle="1" w:styleId="9">
    <w:name w:val="页脚 Char1"/>
    <w:basedOn w:val="6"/>
    <w:semiHidden/>
    <w:qFormat/>
    <w:uiPriority w:val="99"/>
    <w:rPr>
      <w:sz w:val="18"/>
      <w:szCs w:val="18"/>
    </w:rPr>
  </w:style>
  <w:style w:type="paragraph" w:customStyle="1" w:styleId="10">
    <w:name w:val="中等深浅网格 1 - 强调文字颜色 21"/>
    <w:basedOn w:val="1"/>
    <w:qFormat/>
    <w:uiPriority w:val="99"/>
    <w:pPr>
      <w:widowControl/>
      <w:ind w:firstLine="420" w:firstLineChars="200"/>
      <w:jc w:val="left"/>
    </w:pPr>
    <w:rPr>
      <w:rFonts w:ascii="Times New Roman" w:hAnsi="Times New Roman" w:eastAsia="宋体" w:cs="Times New Roman"/>
      <w:kern w:val="0"/>
      <w:sz w:val="24"/>
      <w:szCs w:val="24"/>
    </w:rPr>
  </w:style>
  <w:style w:type="character" w:customStyle="1" w:styleId="11">
    <w:name w:val="页眉 Char"/>
    <w:basedOn w:val="6"/>
    <w:link w:val="4"/>
    <w:uiPriority w:val="99"/>
    <w:rPr>
      <w:sz w:val="18"/>
      <w:szCs w:val="18"/>
    </w:rPr>
  </w:style>
  <w:style w:type="paragraph" w:customStyle="1" w:styleId="12">
    <w:name w:val="彩色列表 - 强调文字颜色 11"/>
    <w:basedOn w:val="1"/>
    <w:qFormat/>
    <w:uiPriority w:val="34"/>
    <w:pPr>
      <w:ind w:firstLine="420" w:firstLineChars="200"/>
    </w:pPr>
    <w:rPr>
      <w:rFonts w:ascii="Calibri" w:hAnsi="Calibri" w:eastAsia="宋体" w:cs="Times New Roman"/>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4A34F-4B2C-4F9B-9205-9243D2369DA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691</Words>
  <Characters>3944</Characters>
  <Lines>32</Lines>
  <Paragraphs>9</Paragraphs>
  <TotalTime>38</TotalTime>
  <ScaleCrop>false</ScaleCrop>
  <LinksUpToDate>false</LinksUpToDate>
  <CharactersWithSpaces>4626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2018-08-10T07:17:00Z</dcterms:created>
  <dc:creator>GuiDer</dc:creator>
  <cp:lastModifiedBy>萌</cp:lastModifiedBy>
  <cp:lastPrinted>2018-08-10T09:29:00Z</cp:lastPrinted>
  <dcterms:modified xsi:type="dcterms:W3CDTF">2019-08-30T01:44:17Z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